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兴银理财财智人生ESG1号净值型理财产品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兴银理财财智人生ESG1号净值型理财产品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Z7002020000163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298,193,766.89份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3.30%--4.20%/4.20%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产品9K220901自成立日以来，累计净值增长率为8.1080%，年化累计净值增长率为3.5699%。</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0.99278</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1.08108</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296,040,974.42</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10年固定收益领域投资交易经验。自2015年8月加入兴业银行以来，一直在资产管理事业部任投资经理，债券交易量近数千亿，交易能力出众；擅长利率债波段和信用债价值挖掘，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6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19重庆交投MTN002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15,280,260.00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21浙兴合MTN001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10,091,720.00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10,085,790.00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10,083,150.00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21苏新国资MTN002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10,082,790.00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18张家公资MTN001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10,071,610.00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21静安投资MTN001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10,059,560.00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21深圳地铁MTN001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10,057,930.00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10,057,700.00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20邳州润城MTN001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10,051,230.00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20青岛水务GN001(蓝债)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21滨江城建PPN003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21国能江苏MTN001(碳中和债)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21静安投资MTN001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21南电GN001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22铜陵建投GN001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兴银理财财智人生ESG1号净值型理财产品2022年第四季度报告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051010100101090412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兴银理财财智人生ESG1号净值型理财产品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