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兴银理财增盈优选24号净值型理财产品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1,212,749,574.67份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产品9K221024自成立日以来，累计净值增长率为5.8390%，年化累计净值增长率为3.7390%。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1.00926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1.05839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1,223,977,161.47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2022年，核心就是复杂和不确定性，有些负面因素是我们明确预料到的，比如美国的通胀和美联储的鹰派，奥密克戎主导的疫情以及地产需求的难以恢复，还有些因素是我们没有预料到的，比如俄乌冲突以及所引发的欧洲能源危机等等，但站在目前这个时点，随着国内资本市场经历的大幅调整，2022年风险得到了充分的释放，我们逐步开始谨慎乐观起来。本报告期内，组合逐步增加权益组合的仓位，降低了债券久期。展望2023年，权益方面，拉长时间来看，无论是从基本面还是情绪面的角度来看，权益市场性价比在逐步提高，产品会继续在保持均衡配置的前提下增加港股市场的投资。债券方面，我们认为信用债信用风险逐步上升，组合配置更多的是高等级信用债和利率债。本产品将秉承勤勉尽责的态度，坚持风险分散，力争在风险可控的基础上获得相对稳定的超额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210,970,200.00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厦门信托-兴粤知1号单一资金信托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145,033,785.00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93,022,041.00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90,021,510.00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72,017,352.00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49,205,100.00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39,452,720.00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30,303,630.00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27,947,920.00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