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兴银理财增盈优选28号净值型理财产品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607,985,268.6份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607,985,268.60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产品9K221128自成立日以来，累计净值增长率为2.1080%，年化累计净值增长率为2.6532%。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620,801,046.25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620,801,046.25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180,469,080.00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110,290,070.00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57,963,443.88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50,922,161.62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25,908,000.27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20,101,360.00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20,001,420.00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14,990,990.42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