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兴银理财ESG兴动优质企业混合类净值型理财产品2022年第四季度报告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兴银理财ESG兴动优质企业混合类净值型理财产品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兴银理财ESG兴动优质企业混合类净值型理财产品2022年第四季度报告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兴银理财ESG兴动优质企业混合类净值型理财产品2022年第四季度报告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兴银理财ESG兴动优质企业混合类净值型理财产品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9K221060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Z7002021000255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8,331,963,266.9份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3.50%--7.00%/--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兴银ESG兴动优质企业A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9K22106A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4,979,987,451.57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兴银ESG兴动优质企业C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9K22106C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3,351,975,815.33</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兴银理财ESG兴动优质企业混合类净值型理财产品2022年第四季度报告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产品9K22106A自成立日以来，累计净值增长率为-3.9950%，年化累计净值增长率为-3.7389%。</w:t>
              <w:br/>
              <w:t xml:space="preserve">产品9K22106C自成立日以来，累计净值增长率为-4.4570%，年化累计净值增长率为-4.1713%。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0.95819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0.95819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7,983,623,129.87</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9K22106A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0.96005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0.96005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4,781,042,405.63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9K22106C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0.95543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0.95543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3,202,580,724.24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莹女士，上海财经大学金融学硕士，CFA，13年证券投资经验。2008年至2013年在兴业银行从事债券投资、组合投资管理，2013年至2021年任兴业基金管理有限公司固收投资部团队总监及基金经理，历任兴业定期开放债券型证券投资基金、兴业年年利定期开放债券型证券投资基金、兴业添利债券型证券投资基金、兴业14天理财债券型证券投资基金、兴业瑞丰6个月定期开放债券型证券投资基金、兴业奕祥混合型证券投资基金基金经理，2021年至今任兴银理财投资经理。擅长长期宏观趋势判断及中观产业分析，投资风格均衡稳定。</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4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一、市场回顾及市场展望。</w:t>
              <w:br/>
              <w:t xml:space="preserve">    首先，宏观层面只能说是魔幻的2022年，百年未有之大变局，从长周期角度，当前可能处于本轮60年康波周期的萧条期起点，10年周期维度，出现滞涨风险的可能性在提升，3年短周期的角度，处于库存周期的下行期中期，但是本轮库存周期较弱，类似于2012-2013年的周期转化。</w:t>
              <w:br/>
              <w:t xml:space="preserve">    从短周期角度，2022年的非线性变量着实较多，而市场按照其惯有的线性外推法形成市场的一致性预期，结果就是一再打脸。回顾来看，2022年压制经济的政策因素贯穿全年，债券的机会始终存在，但因为担心“稳增长”以及“政策的随时变脸”使得市场走得十分犹豫和纠结；权益方面，受“人事变革年”等政治生态因素的影响，风险偏好不高，且较差的经济基本面更是使得EPS的实际值以及预期值不断下降，市场在4月、10月两次触底指数低点。</w:t>
              <w:br/>
              <w:t xml:space="preserve">    展望2023年，整体而言明年的市场环境判断，相对确定的是经济大概率复苏，不确定的是复苏的节奏和高度，以及是否会引起通胀，具体的走向可能无法完全清晰地判断，但是我们可以根据具体情景提前规划，比如债券市场，如果恢复到2019年，合理中枢可能在3.0%-3.3%，中枢为3.15%，如果恢复到2021年，中枢约在2.90%，我们假设市场位于两个情景之前，收益率在2.90%-3.15%，当前位置上行的概率存在，但是上行幅度可控；权益市场，消费、成长、价值周期均处于基本面及估值的相对底部，下行空间有限，风格上，伴随能源革命及中国产业升级的大背</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兴银理财ESG兴动优质企业混合类净值型理财产品2022年第四季度报告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景，本轮权益的主线应该还是在科技、高端制造、新能源等成长行业中。</w:t>
              <w:br/>
              <w:t xml:space="preserve">二、组合策略。</w:t>
              <w:br/>
              <w:t xml:space="preserve">    优质企业债券部分，有权行权久期为1.0-2.0年，2023年整体经济将处于弱复苏阶段，将债券久期逐步降低，并择机博弈市场机会，结构上，债券部分把期限均衡配置，调整为哑铃型，并进一步提升组合的流动性。组合主要持仓为现金及股票资产，持仓行业以电子、电力设备、汽车等科技成长方向为主，组合投资一直坚持“自下而上”个股精选策略，着重于长期基本面，重点买入持有科技创新与中国品牌崛起趋势下的优质、潜力公司，主要配置偏好于半导体及自主可控、电动智能汽车、军工等方向。当前基本面处于强政策+弱现实的组合，疫情和地产依然是宏观核心矛盾关切点。随着防疫以及地产相关政策调整有利于我国经济中期企稳，未来6-12个月，我们的日常生活和经济发展有望逐步回归正轨。当前股票资产具有中长期配置价值。配置思路方面，坚持沿着安全主线和存量结构调整这两个维度来寻找机会，包括国家安全、能源安全、产业安全方向，以及存量结构中的产业转移等。后期重点加强持仓个股经营情况的持续跟踪，在控制好净值回撤基础上积极把握个股投资机会。</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26.50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11.64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0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兴银理财ESG兴动优质企业混合类净值型理财产品2022年第四季度报告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0"/>
              </w:rPr>
              <w:t xml:space="preserve"> 4.1报告期末资产持仓前十基本信息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景顺长城公司治理1号集合资产管理计划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2,066,032,644.48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兴全稳泰债券型证券投资基金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493,124,434.13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景顺长城景泰裕利纯债债券型证券投资基金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445,090,761.65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万家鑫悦纯债A 006172.OF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308,323,422.47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295,301,757.25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易方达信用债债券型证券投资基金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295,189,041.33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易方达稳健收益B（110008.OF）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294,233,831.84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富国泓利纯债债券型发起式证券投资基金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290,243,567.27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工银瑞信纯债债券型证券投资基金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255,201,011.28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21恒健03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250,148,500.00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0"/>
              </w:rPr>
              <w:t xml:space="preserve"> 4.2报告期末债券持仓前五基本信息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21恒健03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250,148,500.00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22国债14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199,628,000.00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21浦集05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198,673,200.00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21粤海02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169,774,920.00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21涪陵01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161,059,040.00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w:t>
                        </w:r>
                      </w:p>
                    </w:tc>
                  </w:tr>
                </w:tbl>
                <w:p>
                  <w:pPr>
                    <w:pStyle w:val="EMPTY_CELL_STYLE"/>
                  </w:pPr>
                </w:p>
              </w:tc>
            </w:tr>
          </w:tbl>
          <w:p>
            <w:pPr>
              <w:pStyle w:val="EMPTY_CELL_STYLE"/>
            </w:pPr>
          </w:p>
        </w:tc>
        <w:tc>
          <w:tcPr>
     </w:tcPr>
          <w:p>
            <w:pPr>
              <w:pStyle w:val="EMPTY_CELL_STYLE"/>
            </w:pPr>
          </w:p>
        </w:tc>
      </w:tr>
      <w:tr>
        <w:trPr>
          <w:trHeight w:hRule="exact" w:val="1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兴银理财ESG兴动优质企业混合类净值型理财产品2022年第四季度报告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0"/>
              </w:rPr>
              <w:t xml:space="preserve"> 4.3报告期末股票持仓前十基本信息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石头科技</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79,610,250.75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视源股份</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78,739,758.72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欣旺达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73,542,674.25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雅克科技</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64,823,923.35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士兰微</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59,727,444.06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利元亨</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50,450,519.70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鼎泰新材</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47,575,410.24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中国船舶</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45,847,204.72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思特威(上海)电子科技股份有限公司</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41,502,303.60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华域汽车</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40,476,703.44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0.44</w:t>
                        </w:r>
                      </w:p>
                    </w:tc>
                  </w:tr>
                </w:tbl>
                <w:p>
                  <w:pPr>
                    <w:pStyle w:val="EMPTY_CELL_STYLE"/>
                  </w:pPr>
                </w:p>
              </w:tc>
            </w:tr>
          </w:tbl>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0"/>
              </w:rPr>
              <w:t xml:space="preserve"> 4.4报告期末基金持仓前十基本信息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兴全稳泰债券型证券投资基金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493,124,434.13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景顺长城景泰裕利纯债债券型证券投资基金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445,090,761.65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万家鑫悦纯债A 006172.OF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308,323,422.47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295,301,757.25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易方达信用债债券型证券投资基金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295,189,041.33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易方达稳健收益B（110008.OF）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294,233,831.84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富国泓利纯债债券型发起式证券投资基金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290,243,567.27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工银瑞信纯债债券型证券投资基金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255,201,011.28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鹏华丰享债券型证券投资基金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211,293,872.13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兴业天融 002638.OF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206,883,768.85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兴银理财ESG兴动优质企业混合类净值型理财产品2022年第四季度报告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20漳州城投PPN001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21弘湘国投MTN001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21徐州兴铜PPN001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22绿城房产MTN003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22中国信达债01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051010100101307972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兴银理财ESG兴动优质企业混合类净值型理财产品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3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