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兴银理财增盈稳享封闭式9号固收类理财产品2022年第四季度报告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兴银理财增盈稳享封闭式9号固收类理财产品</w:t>
              <w:br/>
              <w:t xml:space="preserve">2022年第四季度报告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报告送出日期：2023年1月28日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兴银理财增盈稳享封闭式9号固收类理财产品2022年第四季度报告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兴银理财增盈稳享封闭式9号固收类理财产品2022年第四季度报告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兴银理财增盈稳享封闭式9号固收类理财产品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9K240090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Z7002022000185</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封闭式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1,392,121,241.67份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18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增盈稳享封闭式9号A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9K24009A</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314,314,788.82</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增盈稳享封闭式9号B</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9K24009B</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1,077,806,452.85</w:t>
                        </w:r>
                      </w:p>
                    </w:tc>
                  </w:tr>
                </w:tbl>
                <w:p>
                  <w:pPr>
                    <w:pStyle w:val="EMPTY_CELL_STYLE"/>
                  </w:pPr>
                </w:p>
              </w:tc>
            </w:tr>
          </w:tbl>
          <w:p>
            <w:pPr>
              <w:pStyle w:val="EMPTY_CELL_STYLE"/>
            </w:pPr>
          </w:p>
        </w:tc>
        <w:tc>
          <w:tcPr>
     </w:tcPr>
          <w:p>
            <w:pPr>
              <w:pStyle w:val="EMPTY_CELL_STYLE"/>
            </w:pPr>
          </w:p>
        </w:tc>
      </w:tr>
      <w:tr>
        <w:trPr>
          <w:trHeight w:hRule="exact" w:val="11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2840"/>
        <w:gridCol w:w="460"/>
        <w:gridCol w:w="4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兴银理财增盈稳享封闭式9号固收类理财产品2022年第四季度报告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产品9K24009A自成立日以来，累计净值增长率为0.9930%，年化累计净值增长率为1.5967%。</w:t>
              <w:br/>
              <w:t xml:space="preserve">产品9K24009B自成立日以来，累计净值增长率为1.0550%，年化累计净值增长率为1.6964%。</w:t>
              <w:br/>
              <w:t xml:space="preserve">报告期末，产品净值表现具体如下：</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9K240090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1.01041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1.01041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1,406,617,923.66</w:t>
                        </w:r>
                      </w:p>
                    </w:tc>
                  </w:tr>
                </w:tbl>
                <w:p>
                  <w:pPr>
                    <w:pStyle w:val="EMPTY_CELL_STYLE"/>
                  </w:pPr>
                </w:p>
              </w:tc>
            </w:tr>
          </w:tbl>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9K24009A</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1.00993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1.00993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317,435,654.44</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9K24009B</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1.01055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1.01055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1,089,182,269.22</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24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高翰昆先生，英国诺丁汉大学理学硕士毕业，华东理工大学工科理学本科毕业。13年固收、权益投资交易经验。2020年7月加入兴业银行理财子公司，任多策略团队投资经理。投资策略主要基于对经济运行周期及对监管当局货币及财政政策的研判，自上而下进行大类资产及板块配置。操作风格上积极主动，守正出奇。以配置思路为主，套利思路为辅。</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2022年第四季度，随着大会的顺利召开，很多压制市场的不利的宏观因素得到改善。防疫政策调整、地产政策调整、财政政策持续发力、扩大内需支持经济发展的政策不断落地，都预示着明年经济基本面将有较为有力的支撑。此外美元指数的回落，通胀压力的缓解也都利于国内资本市场的表现。权益市场方面，整体呈现震荡底部企稳的态势。债市则出现了较明显的调整，体现债市对后期经济基本面的乐观预期。本报告期内，本组合积极调整债券持仓，利用利率衍生品对冲久期风险，此外对权益资产进行积极调整行业结构。本组合净值在本报告期内相对表现较好。</w:t>
              <w:br/>
              <w:t xml:space="preserve">    展望明年一季度，外部美联储很可能进入政策拐点开始逐步放松货币条件，俄乌战争边际影响降低但对发达国家的供给和需求的伤害还将继续存在。国内，政策可能在两会后会有进一步托底经济的政策出台，且国内货币财政政策可能会持续呵护经济发展。料权益市场可能探底后形成积极乐观的走势，债市收益率可能会震荡中走高，反应经济向好预期。本组合将继续积极主动管理好大类资产的配置策略并精细化选择类属资产。</w:t>
              <w:br/>
            </w:r>
          </w:p>
        </w:tc>
        <w:tc>
          <w:tcPr>
     </w:tcPr>
          <w:p>
            <w:pPr>
              <w:pStyle w:val="EMPTY_CELL_STYLE"/>
            </w:pPr>
          </w:p>
        </w:tc>
        <w:tc>
          <w:tcPr>
     </w:tcPr>
          <w:p>
            <w:pPr>
              <w:pStyle w:val="EMPTY_CELL_STYLE"/>
            </w:pPr>
          </w:p>
        </w:tc>
      </w:tr>
      <w:tr>
        <w:trPr>
          <w:trHeight w:hRule="exact" w:val="1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兴银理财增盈稳享封闭式9号固收类理财产品2022年第四季度报告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54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10.27</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买入返售金融资产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0.29</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32.47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49.26</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2.77</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非标准化债权类资产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36.94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36.94</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衍生品</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0.47</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26.62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报告期末本产品总资产未超过该产品净资产规模的200%，符合产品协议对本产品杠杆比例的要求。</w:t>
            </w: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主要来自于若投资品种所处的交易市场不活跃，可能带来资产变现困难或产品持仓资产在市场出现剧烈波动的情况下难以以合理价格变现的风险。</w:t>
              <w:br/>
              <w:t xml:space="preserve">    为防范无法支付到期赎回款而产生的流动性风险，本理财产品管理人将合理安排所投资产期限，产品到期前完成所投资组合中相关资产变现，尽可能降低产品流动性风险，有效保障理财持有人利益。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r>
      <w:tr>
        <w:trPr>
          <w:trHeight w:hRule="exact" w:val="25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兴银理财增盈稳享封闭式9号固收类理财产品2022年第四季度报告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664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兴瀚资管兴添翼22号集合资产管理计划</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283,003,641.38</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20.12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22重庆两江01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270,064,260.00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19.20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22江宁经开07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188,034,028.00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13.37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新华资产-明远四号资产管理产品</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121,051,055.18</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8.61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渤海信托？2022金雀101号单一资金信托</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105,020,895.00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7.47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22湖北联投01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88,018,744.00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6.26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兴业期货-兴合4号集合资产管理计划</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65,176,121.98</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4.63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22鲁宏桥CP001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49,691,800.00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3.53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22创投02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39,384,640.00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GC中核02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38,151,848.00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2.71</w:t>
                        </w:r>
                      </w:p>
                    </w:tc>
                  </w:tr>
                </w:tbl>
                <w:p>
                  <w:pPr>
                    <w:pStyle w:val="EMPTY_CELL_STYLE"/>
                  </w:pPr>
                </w:p>
              </w:tc>
            </w:tr>
          </w:tbl>
          <w:p>
            <w:pPr>
              <w:pStyle w:val="EMPTY_CELL_STYLE"/>
            </w:pPr>
          </w:p>
        </w:tc>
        <w:tc>
          <w:tcPr>
     </w:tcPr>
          <w:p>
            <w:pPr>
              <w:pStyle w:val="EMPTY_CELL_STYLE"/>
            </w:pPr>
          </w:p>
        </w:tc>
      </w:tr>
      <w:tr>
        <w:trPr>
          <w:trHeight w:hRule="exact" w:val="3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30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9K240090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20青岛国信MTN003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9K240090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20武夷投资MTN001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9K240090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22光穗建发ABN003优先</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9K240090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22金茂MTN002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8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兴银理财增盈稳享封闭式9号固收类理财产品2022年第四季度报告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5"/>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5"/>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051010100101405408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兴银理财增盈稳享封闭式9号固收类理财产品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top"/>
          </w:tcPr>
          <w:p>
            <w:pPr>
              <w:ind/>
              <w:jc w:val="right"/>
            </w:pPr>
            <w:r>
              <w:rPr>
                <w:rFonts w:ascii="宋体" w:hAnsi="宋体" w:eastAsia="宋体" w:cs="宋体"/>
                <w:color w:val="000000"/>
                <w:sz w:val="21"/>
              </w:rPr>
              <w:t xml:space="preserve">2023年1月28日</w:t>
            </w:r>
          </w:p>
        </w:tc>
        <w:tc>
          <w:tcPr>
     </w:tcPr>
          <w:p>
            <w:pPr>
              <w:pStyle w:val="EMPTY_CELL_STYLE"/>
            </w:pPr>
          </w:p>
        </w:tc>
        <w:tc>
          <w:tcPr>
     </w:tcPr>
          <w:p>
            <w:pPr>
              <w:pStyle w:val="EMPTY_CELL_STYLE"/>
            </w:pPr>
          </w:p>
        </w:tc>
      </w:tr>
      <w:tr>
        <w:trPr>
          <w:trHeight w:hRule="exact" w:val="10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