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兴银理财增盈稳享封闭式29号固收类理财产品2022年第四季度报告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兴银理财增盈稳享封闭式29号固收类理财产品</w:t>
              <w:br/>
              <w:t xml:space="preserve">2022年第四季度报告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报告送出日期：2023年1月28日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兴银理财增盈稳享封闭式29号固收类理财产品2022年第四季度报告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兴银理财增盈稳享封闭式29号固收类理财产品2022年第四季度报告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兴银理财增盈稳享封闭式29号固收类理财产品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9K240290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Z7002022000248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3,408,163,607.33份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4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增盈稳享封闭式29号A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9K24029A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2,673,414,745.54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增盈稳享封闭式29号C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9K24029C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69,576,174.73</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增盈稳享封闭式29号D</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9K24029D</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108,086,241.04</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增盈稳享封闭式29号E</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9K24029E</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557,086,446.02</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产品9K24029A自成立日以来，累计净值增长率为0.2230%，年化累计净值增长率为0.6617%。</w:t>
              <w:br/>
              <w:t xml:space="preserve">产品9K24029C自成立日以来，累计净值增长率为0.1390%，年化累计净值增长率为0.4125%。</w:t>
              <w:br/>
              <w:t xml:space="preserve">产品9K24029D自成立日以来，累计净值增长率为0.1900%，年化累计净值增长率为0.5638%。</w:t>
              <w:br/>
              <w:t xml:space="preserve">产品9K24029E自成立日以来，累计净值增长率为0.2230%，年化累计净值增长率为0.6617%。</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3,415,671,122.06</w:t>
                        </w:r>
                      </w:p>
                    </w:tc>
                  </w:tr>
                </w:tbl>
                <w:p>
                  <w:pPr>
                    <w:pStyle w:val="EMPTY_CELL_STYLE"/>
                  </w:pPr>
                </w:p>
              </w:tc>
            </w:tr>
          </w:tbl>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2,679,377,836.84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69,673,121.91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9K24029D</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108,291,127.69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9K24029E</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558,329,035.62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莹女士，上海财经大学金融学硕士，CFA，13年证券投资经验。2008年至2013年在兴业银行从事债券投资、组合投资管理，2013年至2021年任兴业基金管理有限公司固收投资部团队总监及基金经理，历任兴业定期开放债券型证券投资基金、兴业年年利定期开放债券型证券投资基金、兴业添利债券型证券投资基金、兴业14天理财债券型证券投资基金、兴业瑞丰6个月定期开放债券型证券投资基金、兴业奕祥混合型证券投资基金基金经理，2021年至今任兴银理财投资经理。擅长长期宏观趋势判断及中观产业分析，投资风格均衡稳定。</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3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一、市场回顾及市场展望。</w:t>
              <w:br/>
              <w:t xml:space="preserve">    首先，宏观层面只能说是魔幻的2022年，百年未有之大变局，从长周期角度，当前可能处于本轮60年康波周期的萧条期起点，10年周期维度，出现滞涨风险的可能性在提升，3年短周期的角度，处于库存周期的下行期中期，但是本轮库存周期较弱，类似于2012-2013年的周期转化。</w:t>
              <w:br/>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从短周期角度，2022年的非线性变量着实较多，而市场按照其惯有的线性外推法形成市场的一致性预期，结果就是一再打脸。回顾来看，2022年压制经济的政策因素贯穿全年，债券的机会始终存在，但因为担心“稳增长”以及“政策的随时变脸”使得市场走得十分犹豫和纠结；权益方面，受“人事变革年”等政治生态因素的影响，风险偏好不高，且较差的经济基本面更是使得EPS的实际值以及预期值不断下降，市场在4月、10月两次触底指数低点。</w:t>
              <w:br/>
              <w:t xml:space="preserve">    展望2023年，整体而言明年的市场环境判断，相对确定的是经济大概率复苏，不确定的是复苏的节奏和高度，以及是否会引起通胀，具体的走向可能无法完全清晰地判断，但是我们可以根据具体情景提前规划，比如债券市场，如果恢复到2019年，合理中枢可能在3.0%-3.3%，中枢为3.15%，如果恢复到2021年，中枢约在2.90%，我们假设市场位于两个情景之前，收益率在2.90%-3.15%，当前位置上行的概率存在，但是上行幅度可控；权益市场，消费、成长、价值周期均处于基本面及估值的相对底部，下行空间有限，风格上，伴随能源革命及中国产业升级的大背景，本轮权益的主线应该还是在科技、高端制造、新能源等成长行业中。</w:t>
              <w:br/>
              <w:t xml:space="preserve">二、组合策略。</w:t>
              <w:br/>
              <w:t xml:space="preserve">    增盈稳享29号为封闭式产品，债券部分采用衰竭式久期的配置方式，权益仓位低于5%，结构中，整体配置较为均衡，成长板块，维持高景气赛道绿色产业、汽车智能化的配置比例，均配周期价值等低估值板块，同时增加了中小盘、农业、可选消费、医药等行业配置比例，提升组合均衡性。</w:t>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35.75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14.26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47.09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其他类资产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11.21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exact" w:val="10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7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22扬子国资02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359,998,920.00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兴瀚资管兴添翼22号集合资产管理计划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347,426,539.54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中原信托-联易融保理应收账款债权1号（第2期）—保利发展（广州分行）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299,955,000.00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8.78</w:t>
                        </w:r>
                      </w:p>
                    </w:tc>
                  </w:tr>
                </w:tbl>
                <w:p>
                  <w:pPr>
                    <w:pStyle w:val="EMPTY_CELL_STYLE"/>
                  </w:pPr>
                </w:p>
              </w:tc>
            </w:tr>
            <w:tr>
              <w:trPr>
                <w:trHeight w:hRule="exact" w:val="6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7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云南信托-博安5号单一资金信托-爱柯迪可转债优先配售融资业务（宁波爱柯迪投资管理有限公司）</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282,021,742.88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云南信托-金匠210号单一资金信托-新宙邦可转债优先配售融资业务（覃九三）</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272,678,247.22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云南信托-金匠225号单一资金信托-法本信息可转债优先配售融资业务（严华）</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209,968,520.95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22拱墅国控01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180,498,736.50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22瘦西湖旅发01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159,998,080.00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景顺长城景泰益利 010477.OF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147,640,570.66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20华为MTN002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100,439,700.00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2.94</w:t>
                        </w:r>
                      </w:p>
                    </w:tc>
                  </w:tr>
                </w:tbl>
                <w:p>
                  <w:pPr>
                    <w:pStyle w:val="EMPTY_CELL_STYLE"/>
                  </w:pPr>
                </w:p>
              </w:tc>
            </w:tr>
          </w:tbl>
          <w:p>
            <w:pPr>
              <w:pStyle w:val="EMPTY_CELL_STYLE"/>
            </w:pPr>
          </w:p>
        </w:tc>
        <w:tc>
          <w:tcPr>
     </w:tcPr>
          <w:p>
            <w:pPr>
              <w:pStyle w:val="EMPTY_CELL_STYLE"/>
            </w:pPr>
          </w:p>
        </w:tc>
      </w:tr>
      <w:tr>
        <w:trPr>
          <w:trHeight w:hRule="exact" w:val="37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兴银理财增盈稳享封闭式29号固收类理财产品2022年第四季度报告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21赣州发展MTN003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22金牛象屿ABN001优先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9K240290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22荣盛MTN005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051010100101441196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兴银理财增盈稳享封闭式29号固收类理财产品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2023年1月28日</w:t>
            </w:r>
          </w:p>
        </w:tc>
        <w:tc>
          <w:tcPr>
     </w:tcPr>
          <w:p>
            <w:pPr>
              <w:pStyle w:val="EMPTY_CELL_STYLE"/>
            </w:pPr>
          </w:p>
        </w:tc>
        <w:tc>
          <w:tcPr>
     </w:tcPr>
          <w:p>
            <w:pPr>
              <w:pStyle w:val="EMPTY_CELL_STYLE"/>
            </w:pPr>
          </w:p>
        </w:tc>
      </w:tr>
      <w:tr>
        <w:trPr>
          <w:trHeight w:hRule="exact" w:val="4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