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545,712,603.35份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149,317,239.02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187,335,063.21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34,310,923.00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丰利增盈稳享31号（师泽如光）专属款D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174,749,378.12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产品9K24031A自成立日以来，累计净值增长率为-0.6740%，年化累计净值增长率为-2.2992%。</w:t>
              <w:br/>
              <w:t xml:space="preserve">产品9K24031B自成立日以来，累计净值增长率为-0.6450%，年化累计净值增长率为-2.2002%。</w:t>
              <w:br/>
              <w:t xml:space="preserve">产品9K24031C自成立日以来，累计净值增长率为-0.7170%，年化累计净值增长率为-2.4458%。</w:t>
              <w:br/>
              <w:t xml:space="preserve">产品9K24031D自成立日以来，累计净值增长率为-0.6450%，年化累计净值增长率为-2.2002%。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542,122,916.41</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148,310,510.57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186,126,059.24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34,064,748.25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173,621,598.35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过程中，坚持以风险平价为主的绝对收益策略，持续比较股债性价比并以此为依据动态调整权益仓位比例。产品运作以来，遭遇了8~9月权益市场的超预期下跌，之后又经历了11~12月债券市场的剧烈调整，由于股债跷跷板效应，产品整体收益较为稳健。</w:t>
              <w:br/>
              <w:br/>
              <w:t xml:space="preserve">    展望23年，内外需共振下行的背景下，稳增长的预期愈发强烈，稳增长政策力度也明显加大，流动性支持及财政政策有望推动投资端发力，因此基建链今年可能存在超预期投资机会，尤其是供给端出清具备较大价格弹性的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游品种；而大金融在宏观经济风险逐步降低过程中，估值也有望逐步修复，如银行、保险等。消费板块整体面临的问题是弱基本面和强复苏预期，复苏的节奏可能比预期的要慢，而消费的整体估值已经修复到了较高水平，整体的性价比并不突出，而港股的部分消费股前期跌幅较大，估值的性价比更高。成长板块部分也受到消费转弱的影响，而光伏、储能、军工等需求的确定性仍非常高，且有成本逐步下行的逻辑，今年业绩确定性相对较高，我们仍看好其中的成长机会及新技术的投资机会。短期来看，权益市场仍处于预期修复的过程，还没到基本面的验证期，因此短期内有望延续震荡反弹的趋势，产品的权益仓位将继续保持中性，风格均衡略偏成长。而债券市场经过剧烈调整，配置价值已现，产品将在严控信用风险的前提下，适度加杠杆，力争获取更好的收益。</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22浦口科学城01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云南信托-金匠121号单一资金信托-立昂微可转债优先配售融资业务（王敏文）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39,667,825.42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30,163,710.00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27,220,545.39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20,072,780.00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20泰山投资MTN001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17,984,754.00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17,889,990.98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22龙城发展MTN004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