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兴银理财增盈稳享封闭式32号固收类理财产品2022年第四季度报告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兴银理财增盈稳享封闭式32号固收类理财产品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兴银理财增盈稳享封闭式32号固收类理财产品2022年第四季度报告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兴银理财增盈稳享封闭式32号固收类理财产品2022年第四季度报告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兴银理财增盈稳享封闭式32号固收类理财产品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9K240320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Z7002022000251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897,671,633.54份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806,724,510.36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丰利增盈稳享32号C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90,947,123.18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兴银理财增盈稳享封闭式32号固收类理财产品2022年第四季度报告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产品9K24032A自成立日以来，累计净值增长率为-0.1880%，年化累计净值增长率为-0.7223%。</w:t>
              <w:br/>
              <w:t xml:space="preserve">产品9K24032C自成立日以来，累计净值增长率为-0.2390%，年化累计净值增长率为-0.9183%。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895,939,900.51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805,210,236.15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90,729,664.36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四季度，随着大会的顺利召开，很多压制市场的不利的宏观因素得到改善。防疫政策调整、地产政策调整、财政政策持续发力、扩大内需支持经济发展的政策不断落地，都预示着明年经济基本面将有较为有力的支撑。此外美元指数的回落，通胀压力的缓解也都利于国内资本市场的表现。权益市场方面，整体呈现震荡底部企稳的态势。债市则出现了较明显的调整，体现债市对后期经济基本面的乐观预期。本报告期内，本组合积极调整债券持仓，利用利率衍生品对冲久期风险，此外对权益资产进行积极调整行业结构。本组合净值在本报告期内相对表现较好。</w:t>
              <w:br/>
              <w:t xml:space="preserve">    展望明年一季度，外部美联储很可能进入政策拐点开始逐步放松货币条件，俄乌战争边际影响降低但对发达国家的供给和需求的伤害还将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兴银理财增盈稳享封闭式32号固收类理财产品2022年第四季度报告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兴银理财增盈稳享封闭式32号固收类理财产品2022年第四季度报告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170,079,220.00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118,608,345.53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嘉实基金兴银1号集合资产管理计划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78,773,473.28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22洛阳发投01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75,030,375.00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31,933,411.44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30,275,400.00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21威海城投MTN001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30,162,090.00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22顺泰2A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29,850,844.00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22蛇口06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29,726,160.00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22顺德投资MTN001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兴银理财增盈稳享封闭式32号固收类理财产品2022年第四季度报告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051010100101441468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兴银理财增盈稳享封闭式32号固收类理财产品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