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兴银理财兴合丰瑞1号净值型理财产品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兴银理财兴合丰瑞1号净值型理财产品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Z7002021000229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196,089,547.86份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产品9K221008自成立日以来，累计净值增长率为1.5450%，年化累计净值增长率为1.2560%。</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0.99772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1.01545</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195,642,259.84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李源先生，经济学博士，FRM，7年资产管理行业从业经验。2016年加入兴业银行资产管理部，现任兴银理财权益投资部投资经理。</w:t>
              <w:b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3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固收方面：</w:t>
              <w:br/>
              <w:t xml:space="preserve">    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    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br/>
              <w:t xml:space="preserve">    权益方面：</w:t>
              <w:br/>
              <w:t xml:space="preserve">    2022年四季度，在固收投资方面，三季度以来债券资产的性价比处于极低的状态，我们对债券资产保持较低的配置比例，主动降低债券资产的风险暴露，有效规避当期债券市场的大幅波动。在权益投资方面，我们坚持绝对收益目标，先为不败而后求胜，严格按照风险预算管理要求，强调底层资产的安全边际，控制下行风险，积极寻找能够带来正beta的投资方向，在赔率和胜率的投资框架下进行权益资产结构的选择。抓住经济基本面改善的确定性机会，以及防范房地产风险的底线要求，10月重点配置低估值高股息的金融板块。11月逐步提高权益仓位，加仓工业</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金属、信创等顺周期方向。在中央经济工作会议定调后，增加港股互联网资产的配置。</w:t>
              <w:br/>
              <w:t xml:space="preserve">    展望2023年，我们认为，经济复苏或将成为全年主线，决定大类资产配置的胜率，过程不会一帆风顺，可能一波三折。在固收投资方面，时间可能不是债券的朋友，债券收益率短期以区间震荡行情为主，中期面临上行压力。策略上灵活调整组合久期，阶段性波段操作，赚取资本利得。在权益投资方面，在强化风险预算管理的基础上，一是低估值高股息资产能够给组合提供稳定的底仓收益。二是今年我国释放扩大内需的强烈信号，叠加疫情政策优化后，消费行业需求端改善是大概率事件，但不同细分板块的赔率差异较大，选择估值保护足、赔率较高的细分方向。三是受益于监管政策环境改善，叠加受益于消费需求释放、估值处于历史低位的港股互联网公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96,326,907.02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91,314,000.00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051010100101274417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兴银理财兴合丰瑞1号净值型理财产品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2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