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天天万利宝稳利5号净值型理财产品G款</w:t>
              <w:br/>
              <w:t xml:space="preserve">2022年第四季度报告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报告送出日期：2023年1月28日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天天万利宝稳利5号净值型理财产品G款</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9K218057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Z7002020000044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203,601,492.83份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4.00%--6.00%/6.00%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产品9K218057自成立日以来，累计净值增长率为13.0490%，年化累计净值增长率为3.8164%。</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0.98226</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1.13049</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199,990,515.25</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吴为先生，西南财经大学数学、经济学双学士，新南威尔士大学精算硕士，FRM。19年加入兴银理财，曾任兴业研究基金研究员，7年金融从业经验。现任兴银理财权益投资部投资经理。</w:t>
              <w:br/>
              <w:t xml:space="preserve">    姚立宇先生，澳大利亚墨尔本大学商学学士、澳大利亚莫纳什大学应用金融学硕士，曾就职国家开发银行。2016年加入兴业银行资产管理部固定收益处，2020年入职兴银理财有限责任公司，任固定收益投资经理。投资理念追求收益性和安全性兼顾，获得持续稳定回报，擅长方向通过信用研究和挖掘获取超额收益，并通过利差变化寻求交易性机会。</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34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固收方面：</w:t>
              <w:br/>
              <w:t xml:space="preserve">    一、2022年四季度投资策略与运作回顾</w:t>
              <w:br/>
              <w:t xml:space="preserve">    2022年1-10月债市利率震荡下行。10年国债利率去年末的2.78%，下行至了10月末的2.64%，累计下行了14bp。利率上半年震荡为主，利率中枢在2.78%，信用则自3月以来持续下行，实现了信用利差的大幅压缩；11月以来，在地产政策不断出台叠加疫情政策放开的影响下，利率快速回升，11月单月10年国债上行22bp，而3年AA+城投上行了64bp，利差迅速走阔，且不断恶化；12月以来，市场进入第二轮负反馈，本轮负反馈的主要冲击来自12月打开的定开型产品的赎回，在利率和存单已经跌幅收窄的情况下，信用和二永仍保持较深的下跌幅度。截止2022年末，相比9月底，10年国债上行8bp，同业存单上行43bp，3年AAA中票上行50bp，3年AA+中票上行74bp。</w:t>
              <w:br/>
              <w:t xml:space="preserve">    产品运作方面，考虑到边际抬升的资金利率、疫情、地产政策的边际变化，四季度整体采取了防守的投资策略，10月后逐步做了减仓。在具体操作方面，主要从相对增配低波资产、减持债券资产等角度进行积极调仓，为组合平衡收益与流动性。</w:t>
              <w:br/>
              <w:t xml:space="preserve">    二、2023一季度投资策略展望</w:t>
              <w:br/>
              <w:t xml:space="preserve">    后市展望：2022年至今，国内流动性保持宽松，债券跑赢除商品外的大部分大类资产，获得更加稳健回报。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br/>
              <w:t xml:space="preserve">    权益方面：</w:t>
              <w:br/>
              <w:t xml:space="preserve">    2022年可定义为结构性熊市，熊市级别超越2018年，受疫情、海外冲突、美联储等宏观环境影响，多数行业大幅下跌。展望2023年上述因素逐步缓建，权益市场估值水平历史低位，对2023年权益市场表现乐观。分资产来看，债券市场方面，目前来看，债市更多是预防性调整，反映的是预期的变化，但经济基本面的走势仍需要检验。从当前债券估值来看，短端品种收益率相对理财负债成本已具备一定配置价值，并且当前强预期弱现实背景下资金利率明显上行的可能性不高，短端息差也具备较好的保护空间。从绝对收益和利差角度来看，目前各期限债券和前期相</w:t>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2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比已具有一定的投资价值，当市场情绪渐稳后，存在一定的超调配置机会。对于客户端来讲，产品未来的投资收益将优于过去一段时间的持有收益。下阶段总体策略：防守策略为主，保持产品流动性，控制信用风险，抓住超调后的配置机会。同时逢高构建期限合适、票息可观的优质信用债，在平衡权益波动、享受债券信用溢价的同时，也能享受曲线骑乘收益，同时合理利用杠杆带来的机会，后续如有机会进一步加大操作力度。权益方面，宏观上国内国外压制因素逐渐消退。实体经济预计前低后高，年初往后逐渐好转，货币和社融增长率到年中见底回升，全年权益市场机会较多，成长价值股均有较高投资性价比。大宗商品明年筑底回升概率也较大，黄金等投资机会显著。明年投资范围应更宽广，呈现多点开花局面，目前基本面及估值均在历史低位水平。海外美元处于高位，虽有衰退风险，但也需观察通胀的韧性，是否利率中枢系统性上移是观察的关键。国内主要关注疫后重建的投资机会，包括消费制造出行等，目前投资主线尚不明朗。本产品去年打开后权益仓位中枢偏低，2022年4季度逢低加仓，2023Q1拟继续加仓至中枢仓位之上，根据市场轮动做一定高低切换交易。</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13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6640"/>
        </w:trPr>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40,000,260.00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18国开10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10,570,730.00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21华福C1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10,123,650.00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20德源绿色债02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10,077,430.00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21中企01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10,019,080.00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22城南D1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9,991,400.00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21海城02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9,952,880.00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21娄城高新MTN001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9,923,540.00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21岳阳03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9,920,460.00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21金港02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9,880,710.00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4.94</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051010100100849209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兴业理财托管专户天天万利宝稳利5号G款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2023年1月28日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