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兴银理财兴承恒享新盈4号净值型理财产品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69,748,751.76份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兴银兴承恒享新盈4号A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69,748,751.76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产品9D31004A自成立日以来，累计净值增长率为-0.8380%，年化累计净值增长率为-2.1540%。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69,164,541.79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69,164,541.79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年，杠杆120%。四季度产品打开进入下一个定开周期。对于上一个周期，四季度仓位自然衰减，但还是受到了债券市场大幅波动的影响，净值出现了一定下滑。新的一期成立之时仍然受到债券大幅下挫的影响，但目前随着债券价格的反弹，产品收益也逐步稳定。展望后市，目前市场仍然处于复苏的初期，预期打得比较满。利率大概率处于一个震荡状态，需要对复苏程度和资金是否会收敛保持关注。产品还有2个月到期，目前主要是降低组合久期，同时如果债券进入下一波调整周期，可以逢低买入流动性较好的长久期债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10,009,487.66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4,957,850.00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4,903,795.00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20路桥02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4,033,716.00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22先行控股SCP003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3,995,720.00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3,977,344.00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22招港02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3,955,668.00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3,936,408.00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22湘路08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3,914,644.00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3,013,191.00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22武清经开SCP003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兴银理财兴承恒享新盈4号净值型理财产品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兴银理财兴承恒享新盈4号净值型理财产品2022年第四季度报告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