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兴银理财稳添利双周盈（14天最短持有）1号日开固收类理财产品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兴银理财稳添利双周盈（14天最短持有）1号日开固收类理财产品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534,033,047.33份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产品9C212105自成立日以来，累计净值增长率为0.8310%，年化累计净值增长率为2.2140%。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1.00831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1.00831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538,470,111.47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6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100,495,594.24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52,878,084.33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20吴中经发PPN003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30,066,930.00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22创元投资SCP003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29,819,850.00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20抚州投资PPN002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051010100101454386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兴银理财稳添利双周盈14天最短持有1号日开固收类理财产品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