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兴银理财兴承恒享封闭式1号净值型理财产品2022年第四季度报告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兴银理财兴承恒享封闭式1号净值型理财产品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兴银理财兴承恒享封闭式1号净值型理财产品2022年第四季度报告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兴银理财兴承恒享封闭式1号净值型理财产品2022年第四季度报告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兴银理财兴承恒享封闭式1号净值型理财产品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9D110010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Z7002021000093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1,164,828,020.2份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0.00%/--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兴承恒享封闭式1号A（业绩报酬计提起点7%）</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9D11001A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453,584,804.42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兴承恒享封闭式1号B（业绩报酬计提起点7%）</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9D11001B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711,243,215.78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兴银理财兴承恒享封闭式1号净值型理财产品2022年第四季度报告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产品9D11001A自成立日以来，累计净值增长率为-4.0310%，年化累计净值增长率为-2.5544%。</w:t>
              <w:br/>
              <w:t xml:space="preserve">产品9D11001B自成立日以来，累计净值增长率为-3.7280%，年化累计净值增长率为-2.3624%。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9D110010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0.96154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0.96154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1,120,033,498.10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9D11001A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0.95969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0.95969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435,302,966.41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9D11001B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684,730,531.69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吕承应女士，北京大学统计学学士、经济学双学士，北京大学经济学硕士、新加坡国立大学金融工程硕士，2017年加入兴业银行，具有5年FOF/MOM投资研究经验。现任兴银理财权益投资经理。</w:t>
              <w:br/>
              <w:t xml:space="preserve">    逄博先生，上海交通大学金融硕士，上海交通大学数学与应用数学学士，拥有4年多债券投资交易经验。2019年加入兴银理财有限责任公司，现任兴银理财固定收益部投资经理，主要负责债券投资以及固收产品投资管理工作。</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7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固收方面：</w:t>
              <w:br/>
              <w:t xml:space="preserve">    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    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兴银理财兴承恒享封闭式1号净值型理财产品2022年第四季度报告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br/>
              <w:t xml:space="preserve">    权益方面：</w:t>
              <w:br/>
              <w:t xml:space="preserve">    2022年在宏观方面，国内地产数据持续不振，宏观经济下行压力较大，海外流动性收缩，资源品价格居高不下，通胀压力不断增大。加上A股市场，近两年赛道基金发行多，赛道估值较高。伴随黑天鹅事件，市场波动率显著加大，大宗商品价格大涨，各国股市普遍出现显著下跌，A股市场风险偏好进一步下行。受疫情反复影响，4月市场持续下跌。4月末政策释放利好，市场企稳，进入反弹。5-6月叠加流动性宽松，前期跌幅较深的以汽车零部件、新能源汽车等板块反弹较多。7月开始市场进入震荡下行，国内地产数据仍有压力，宏观经济恢复仍待观察，同时疫情反复、防控政策总体仍较严，对经济生活造成明显影响。同时海外局部战争仍未结束，通胀压力持续。10月以来权益市场出现结构性行情，计算机与医药由于产业政策利好首先出现估值修复，10月底开始港股、消费、地产与地产链受益于产业政策利好与疫情管控放松的预期出现反弹。11月底上市国企出现一波估值修复，整体权益市场出现明显轮动特征。12月市场围绕复苏与抗疫轮动，但整体情绪偏弱，风格偏消费和大盘蓝筹。2023年以来随着疫情影响高峰逐渐过去，高频数据显示经济活动正在修复，当前市场在反弹之后整体估值仍不高，A股仍处于较好的布局期。</w:t>
              <w:br/>
              <w:t xml:space="preserve">    中长期看，A股市场的收益率还是来自国内自身的经济发展动力以及企业自身的盈利水平，重点关注受益经济修复和政策支持且对政策敏感性较高的领域。随着2022年业绩预告和快报披露，持续关注业绩超预期或环比明显改善的高景气领域。对于基本面面临拐点并逐渐触底回升的板块也加大关注力度。特别地，将保持对业绩景气度有望维持高位且前期调整相对充分的新能源板块、疫后复苏确定性较高的消费板块、政策方向明确的数字经济及高端制造板块、持续受益于政策支持预期向好的地产产业链的紧密跟踪。</w:t>
              <w:br/>
              <w:t xml:space="preserve">    组合操作上，当前位置维持相对均衡的结构为主，兼顾港股、稳增长、成长、制造及消费医药中的优质资产。持续在管理人库里优中选优，重点配置注重基本面跟踪、公司深度研究能力较强以及选股和交易重视安全边际的管理人。保持中枢权益仓位运作，同时结合估值情况与景气变化做部分板块的高低切换。</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兴银理财兴承恒享封闭式1号净值型理财产品2022年第四季度报告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粤财信托·瑞丰46-1号单一资金信托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150,201,600.00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21华侨城MTN002A(乡村振兴)</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70,068,880.00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60,513,780.00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54,083,214.00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19湖交投MTN001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50,552,200.00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22山证03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39,625,040.00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21宜兴城投PPN003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39,620,600.00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22国联04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39,602,920.00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22建邺G2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39,276,560.00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22银河C5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39,016,240.00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兴银理财兴承恒享封闭式1号净值型理财产品2022年第四季度报告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9D110010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19湖交投MTN001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9D110010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9D110010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19泰州城建MTN001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9D110010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9D110010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9D110010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22厦钨MTN002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051010100101198766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兴银理财兴承恒享封闭式1号净值型理财产品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