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兴银理财财智人生灵动1号A款净值型理财产品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兴银理财财智人生灵动1号A款净值型理财产品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347,937,428.67份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产品9K211010自成立日以来，累计净值增长率为9.1980%，年化累计净值增长率为3.7935%。</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0.99166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1.09198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345,034,261.38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95%固收+5%衍生品套利策略。产品目前久期1.5年，杠杆120%。四季度组合受到债券市场大幅波动的影响，净值出现了一定下滑，目前随着债券价格的反弹，产品收益也逐步稳定。展望后市，目前市场仍然处于复苏的初期，预期打得比较满。利率大概率处于一个震荡状态，需要对复苏程度和资金是否会收敛保持关注。产品衍生品策略运用需要更加灵活，在债券波动加大时为组合贡献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徐租18A2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24,953,625.00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24,677,723.00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22海曙广聚SCP004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19,899,720.00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21中煤能源MTN001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19,215,099.00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22焦煤Y1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14,981,100.00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14,944,800.00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20珠华01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14,944,140.00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12,299,616.00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兴业期货-财智人生灵动1号单一资产管理计划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12,218,205.34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22东航股MTN002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11,907,708.00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051010100101068813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兴银理财财智人生灵动1号A款净值型理财产品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