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兴银理财天天万利宝稳利3号净值型理财产品O款</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兴银理财天天万利宝稳利3号净值型理财产品O款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9K212013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Z7002020000060</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1,700,000,000份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稳利3号O款(A类)</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9K212113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1,000,000,000.00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稳利3号O款(B类)</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9K212213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700,000,000.00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兴银理财天天万利宝稳利3号净值型理财产品O款2022年第四季度报告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产品9K212113自成立日以来，累计净值增长率为10.0520%，年化累计净值增长率为3.7324%。</w:t>
            </w:r>
            <w:r>
              <w:rPr>
                <w:rFonts w:ascii="宋体" w:hAnsi="宋体" w:eastAsia="宋体" w:cs="宋体"/>
                <w:color w:val="000000"/>
                <w:sz w:val="21"/>
              </w:rPr>
              <w:br w:type="textWrapping"/>
            </w:r>
            <w:r>
              <w:rPr>
                <w:rFonts w:ascii="宋体" w:hAnsi="宋体" w:eastAsia="宋体" w:cs="宋体"/>
                <w:color w:val="000000"/>
                <w:sz w:val="21"/>
              </w:rPr>
              <w:t>产品9K212213自成立日以来，累计净值增长率为9.9700%，年化累计净值增长率为3.7020%。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1,742,414,094.03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1,024,949,465.95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1.09970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717,464,628.08</w:t>
                        </w:r>
                      </w:p>
                    </w:tc>
                  </w:tr>
                </w:tbl>
                <w:p>
                  <w:pPr>
                    <w:pStyle w:val="4"/>
                  </w:pPr>
                </w:p>
              </w:tc>
            </w:tr>
          </w:tbl>
          <w:p>
            <w:pPr>
              <w:pStyle w:val="4"/>
            </w:pPr>
            <w:bookmarkStart w:id="7" w:name="_GoBack"/>
            <w:bookmarkEnd w:id="7"/>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金晶女士，现任兴银理财专户投资部负责人，专户投资总监。毕业于对外经济贸易大学金融学硕士，拥有15年固定收益投资经验，于2007年加入兴业银行，历任兴业银行资金营运中心债券交易员、兴业银行资产管理部债券投资经理，投资团队主管。目前管理包括“稳利”系列开放式产品、多家大型企金专户定制产品，产品管理规模超过400亿，得到客户高度认可。具有丰富的固定收益产品管理经验，风格稳健，对宏观及利率走势有较为深入的研判，擅长根据市场研判灵活运用多种投资策略，业绩优异。</w:t>
            </w:r>
          </w:p>
        </w:tc>
        <w:tc>
          <w:tcPr>
            <w:gridSpan w:val="4"/>
          </w:tcPr>
          <w:p>
            <w:pPr>
              <w:pStyle w:val="4"/>
            </w:pPr>
          </w:p>
        </w:tc>
        <w:tc>
          <w:p>
            <w:pPr>
              <w:pStyle w:val="4"/>
            </w:pPr>
          </w:p>
        </w:tc>
      </w:tr>
      <w:tr>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4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一、2022年市场回顾与产品投资策略</w:t>
            </w:r>
            <w:r>
              <w:rPr>
                <w:rFonts w:ascii="宋体" w:hAnsi="宋体" w:eastAsia="宋体" w:cs="宋体"/>
                <w:color w:val="000000"/>
                <w:sz w:val="21"/>
              </w:rPr>
              <w:br w:type="textWrapping"/>
            </w:r>
            <w:r>
              <w:rPr>
                <w:rFonts w:ascii="宋体" w:hAnsi="宋体" w:eastAsia="宋体" w:cs="宋体"/>
                <w:color w:val="000000"/>
                <w:sz w:val="21"/>
              </w:rPr>
              <w:t>1、市场回顾</w:t>
            </w:r>
            <w:r>
              <w:rPr>
                <w:rFonts w:ascii="宋体" w:hAnsi="宋体" w:eastAsia="宋体" w:cs="宋体"/>
                <w:color w:val="000000"/>
                <w:sz w:val="21"/>
              </w:rPr>
              <w:br w:type="textWrapping"/>
            </w:r>
            <w:r>
              <w:rPr>
                <w:rFonts w:ascii="宋体" w:hAnsi="宋体" w:eastAsia="宋体" w:cs="宋体"/>
                <w:color w:val="000000"/>
                <w:sz w:val="21"/>
              </w:rP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r>
            <w:r>
              <w:rPr>
                <w:rFonts w:ascii="宋体" w:hAnsi="宋体" w:eastAsia="宋体" w:cs="宋体"/>
                <w:color w:val="000000"/>
                <w:sz w:val="21"/>
              </w:rPr>
              <w:br w:type="textWrapping"/>
            </w:r>
            <w:r>
              <w:rPr>
                <w:rFonts w:ascii="宋体" w:hAnsi="宋体" w:eastAsia="宋体" w:cs="宋体"/>
                <w:color w:val="000000"/>
                <w:sz w:val="21"/>
              </w:rP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r>
            <w:r>
              <w:rPr>
                <w:rFonts w:ascii="宋体" w:hAnsi="宋体" w:eastAsia="宋体" w:cs="宋体"/>
                <w:color w:val="000000"/>
                <w:sz w:val="21"/>
              </w:rPr>
              <w:br w:type="textWrapping"/>
            </w:r>
            <w:r>
              <w:rPr>
                <w:rFonts w:ascii="宋体" w:hAnsi="宋体" w:eastAsia="宋体" w:cs="宋体"/>
                <w:color w:val="000000"/>
                <w:sz w:val="21"/>
              </w:rP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r>
            <w:r>
              <w:rPr>
                <w:rFonts w:ascii="宋体" w:hAnsi="宋体" w:eastAsia="宋体" w:cs="宋体"/>
                <w:color w:val="000000"/>
                <w:sz w:val="21"/>
              </w:rPr>
              <w:br w:type="textWrapping"/>
            </w: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2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r>
            <w:r>
              <w:rPr>
                <w:rFonts w:ascii="宋体" w:hAnsi="宋体" w:eastAsia="宋体" w:cs="宋体"/>
                <w:color w:val="000000"/>
                <w:sz w:val="21"/>
              </w:rPr>
              <w:br w:type="textWrapping"/>
            </w:r>
            <w:r>
              <w:rPr>
                <w:rFonts w:ascii="宋体" w:hAnsi="宋体" w:eastAsia="宋体" w:cs="宋体"/>
                <w:color w:val="000000"/>
                <w:sz w:val="21"/>
              </w:rPr>
              <w:t>2、产品运作</w:t>
            </w:r>
            <w:r>
              <w:rPr>
                <w:rFonts w:ascii="宋体" w:hAnsi="宋体" w:eastAsia="宋体" w:cs="宋体"/>
                <w:color w:val="000000"/>
                <w:sz w:val="21"/>
              </w:rPr>
              <w:br w:type="textWrapping"/>
            </w:r>
            <w:r>
              <w:rPr>
                <w:rFonts w:ascii="宋体" w:hAnsi="宋体" w:eastAsia="宋体" w:cs="宋体"/>
                <w:color w:val="000000"/>
                <w:sz w:val="21"/>
              </w:rP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r>
            <w:r>
              <w:rPr>
                <w:rFonts w:ascii="宋体" w:hAnsi="宋体" w:eastAsia="宋体" w:cs="宋体"/>
                <w:color w:val="000000"/>
                <w:sz w:val="21"/>
              </w:rPr>
              <w:br w:type="textWrapping"/>
            </w:r>
            <w:r>
              <w:rPr>
                <w:rFonts w:ascii="宋体" w:hAnsi="宋体" w:eastAsia="宋体" w:cs="宋体"/>
                <w:color w:val="000000"/>
                <w:sz w:val="21"/>
              </w:rP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r>
            <w:r>
              <w:rPr>
                <w:rFonts w:ascii="宋体" w:hAnsi="宋体" w:eastAsia="宋体" w:cs="宋体"/>
                <w:color w:val="000000"/>
                <w:sz w:val="21"/>
              </w:rPr>
              <w:br w:type="textWrapping"/>
            </w:r>
            <w:r>
              <w:rPr>
                <w:rFonts w:ascii="宋体" w:hAnsi="宋体" w:eastAsia="宋体" w:cs="宋体"/>
                <w:color w:val="000000"/>
                <w:sz w:val="21"/>
              </w:rPr>
              <w:t>二、2023年一季度展望与投资策略</w:t>
            </w:r>
            <w:r>
              <w:rPr>
                <w:rFonts w:ascii="宋体" w:hAnsi="宋体" w:eastAsia="宋体" w:cs="宋体"/>
                <w:color w:val="000000"/>
                <w:sz w:val="21"/>
              </w:rPr>
              <w:br w:type="textWrapping"/>
            </w:r>
            <w:r>
              <w:rPr>
                <w:rFonts w:ascii="宋体" w:hAnsi="宋体" w:eastAsia="宋体" w:cs="宋体"/>
                <w:color w:val="000000"/>
                <w:sz w:val="21"/>
              </w:rPr>
              <w:t>1、2023年一季度展望</w:t>
            </w:r>
            <w:r>
              <w:rPr>
                <w:rFonts w:ascii="宋体" w:hAnsi="宋体" w:eastAsia="宋体" w:cs="宋体"/>
                <w:color w:val="000000"/>
                <w:sz w:val="21"/>
              </w:rPr>
              <w:br w:type="textWrapping"/>
            </w:r>
            <w:r>
              <w:rPr>
                <w:rFonts w:ascii="宋体" w:hAnsi="宋体" w:eastAsia="宋体" w:cs="宋体"/>
                <w:color w:val="000000"/>
                <w:sz w:val="21"/>
              </w:rP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r>
            <w:r>
              <w:rPr>
                <w:rFonts w:ascii="宋体" w:hAnsi="宋体" w:eastAsia="宋体" w:cs="宋体"/>
                <w:color w:val="000000"/>
                <w:sz w:val="21"/>
              </w:rPr>
              <w:br w:type="textWrapping"/>
            </w:r>
            <w:r>
              <w:rPr>
                <w:rFonts w:ascii="宋体" w:hAnsi="宋体" w:eastAsia="宋体" w:cs="宋体"/>
                <w:color w:val="000000"/>
                <w:sz w:val="21"/>
              </w:rPr>
              <w:t>2、投资策略</w:t>
            </w:r>
            <w:r>
              <w:rPr>
                <w:rFonts w:ascii="宋体" w:hAnsi="宋体" w:eastAsia="宋体" w:cs="宋体"/>
                <w:color w:val="000000"/>
                <w:sz w:val="21"/>
              </w:rPr>
              <w:br w:type="textWrapping"/>
            </w:r>
            <w:r>
              <w:rPr>
                <w:rFonts w:ascii="宋体" w:hAnsi="宋体" w:eastAsia="宋体" w:cs="宋体"/>
                <w:color w:val="000000"/>
                <w:sz w:val="21"/>
              </w:rP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3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兴银理财天天万利宝稳利3号净值型理财产品O款2022年第四季度报告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22鄂交投MTN002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109,976,993.40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22青岛国信MTN001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104,447,349.02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5.99</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99,982,078.33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22济南城建MTN003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99,979,382.50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22洪轨01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95,337,800.24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22五资01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89,981,678.30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15投资01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89,834,760.00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22成都环境MTN001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72,037,915.51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21湘江01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60,181,048.74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22鲁能源MTN005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59,262,367.82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兴银理财天天万利宝稳利3号净值型理财产品O款2022年第四季度报告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22佛公用MTN001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22福州新发MTN001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22广新控股MTN002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22青岛海控PPN002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22兴城投资MTN001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051010100100994375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兴银理财天天万利宝稳利3号净值型理财产品O款</w:t>
                        </w:r>
                      </w:p>
                    </w:tc>
                  </w:tr>
                </w:tbl>
                <w:p>
                  <w:pPr>
                    <w:pStyle w:val="4"/>
                  </w:pPr>
                </w:p>
              </w:tc>
            </w:tr>
          </w:tbl>
          <w:p>
            <w:pPr>
              <w:pStyle w:val="4"/>
            </w:pPr>
          </w:p>
        </w:tc>
        <w:tc>
          <w:p>
            <w:pPr>
              <w:pStyle w:val="4"/>
            </w:pPr>
          </w:p>
        </w:tc>
      </w:tr>
      <w:tr>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2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10AF58D6"/>
    <w:rsid w:val="3B0308F2"/>
    <w:rsid w:val="4FB465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2023-01-16T11:31:02Z</dcterms:created>
  <dc:creator>User</dc:creator>
  <cp:lastModifiedBy>cib</cp:lastModifiedBy>
  <dcterms:modified xsi:type="dcterms:W3CDTF">2023-01-16T11:31:34Z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