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兴银理财睿动新趋势1号净值型理财产品2022年第四季度报告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兴银理财睿动新趋势1号净值型理财产品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兴银理财睿动新趋势1号净值型理财产品2022年第四季度报告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兴银理财睿动新趋势1号净值型理财产品2022年第四季度报告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兴银理财睿动新趋势1号净值型理财产品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9K215010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Z7002021000061</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117,510,264.51份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3.50%--6.00%/--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兴银睿动1号A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9K21501A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101,395,952.26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兴银睿动1号B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9K21501B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16,114,312.25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兴银理财睿动新趋势1号净值型理财产品2022年第四季度报告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产品9K21501A自成立日以来，累计净值增长率为-0.1520%，年化累计净值增长率为-0.0985%。</w:t>
            </w:r>
            <w:r>
              <w:rPr>
                <w:rFonts w:ascii="宋体" w:hAnsi="宋体" w:eastAsia="宋体" w:cs="宋体"/>
                <w:color w:val="000000"/>
                <w:sz w:val="21"/>
              </w:rPr>
              <w:br w:type="textWrapping"/>
            </w:r>
            <w:r>
              <w:rPr>
                <w:rFonts w:ascii="宋体" w:hAnsi="宋体" w:eastAsia="宋体" w:cs="宋体"/>
                <w:color w:val="000000"/>
                <w:sz w:val="21"/>
              </w:rPr>
              <w:t>产品9K21501B自成立日以来，累计净值增长率为0.0440%，年化累计净值增长率为0.0285%。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9K215010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117,363,716.57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9K21501A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101,242,243.58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9K21501B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16,121,472.99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r>
            <w:bookmarkStart w:id="6" w:name="_GoBack"/>
            <w:bookmarkEnd w:id="6"/>
            <w:r>
              <w:rPr>
                <w:rFonts w:ascii="宋体" w:hAnsi="宋体" w:eastAsia="宋体" w:cs="宋体"/>
                <w:color w:val="000000"/>
                <w:sz w:val="21"/>
              </w:rPr>
              <w:br w:type="textWrapping"/>
            </w:r>
            <w:r>
              <w:rPr>
                <w:rFonts w:ascii="宋体" w:hAnsi="宋体" w:eastAsia="宋体" w:cs="宋体"/>
                <w:color w:val="000000"/>
                <w:sz w:val="21"/>
              </w:rP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兴银理财睿动新趋势1号净值型理财产品2022年第四季度报告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14,623,636.42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华泰柏瑞新利C( 002091.OF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9,910,183.35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易方达裕如 001136.OF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9,788,013.08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9,771,716.98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中欧瑾利混合型证券投资基金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7,844,981.19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兴银理财睿动新趋势1号净值型理财产品2022年第四季度报告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中欧康裕C 004455.OF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7,468,267.24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5,843,606.80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光大添益A ( 360013.OF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5,112,808.35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20杭金01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5,061,530.00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安信新趋势C( 001711.OF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4,995,674.75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051010100101220740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兴银理财睿动新趋势1号净值型理财产品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3"/>
          </w:tcPr>
          <w:p>
            <w:pPr>
              <w:pStyle w:val="4"/>
            </w:pPr>
          </w:p>
        </w:tc>
        <w:tc>
          <w:p>
            <w:pPr>
              <w:pStyle w:val="4"/>
            </w:pPr>
          </w:p>
        </w:tc>
      </w:tr>
      <w:tr>
        <w:tblPrEx>
          <w:tblCellMar>
            <w:top w:w="0" w:type="dxa"/>
            <w:left w:w="10" w:type="dxa"/>
            <w:bottom w:w="0" w:type="dxa"/>
            <w:right w:w="10" w:type="dxa"/>
          </w:tblCellMar>
        </w:tblPrEx>
        <w:trPr>
          <w:trHeight w:val="21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53F200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2023-01-17T01:54:50Z</dcterms:created>
  <dc:creator>cib</dc:creator>
  <cp:lastModifiedBy>cib</cp:lastModifiedBy>
  <dcterms:modified xsi:type="dcterms:W3CDTF">2023-01-17T01:56:55Z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