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5,781,469,759.89份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产品9K218067自成立日以来，累计净值增长率为13.5470%，年化累计净值增长率为3.9812%。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1.04585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1.13547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6,046,525,569.91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1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549,951,050.00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510,560,873.20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383,147,667.31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云南信托-好景28号单一资金信托-恒逸石化可转债优先配售融资业务（浙江恒逸集团有限公司）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351,275,394.21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205,710,232.31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180,240,120.00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179,199,180.00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5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