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7,818,250,983.40份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产品9K218071自成立日以来，累计净值增长率为14.0880%，年化累计净值增长率为4.5789%。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1.14088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8,005,580,134.64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15年研究和投资经验。曾任职于华泰证券、海通证券研究所，所在团队多次上榜和入围新财富最佳分析师。于2014年加入兴业银行，任投资经理，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1,403,743,600.00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782,248,520.00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611,639,070.00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349,216,700.00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330,853,710.00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273,877,974.90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247,768,250.00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