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兴银理财睿盈优选平衡3号混合类净值型理财产品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兴银理财睿盈优选平衡3号混合类净值型理财产品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1,113,723,810.56份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产品9K220003自成立日以来，累计净值增长率为5.6680%，年化累计净值增长率为2.1461%。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1.02668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1.05668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1,143,435,614.17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固收方面：</w:t>
            </w:r>
            <w:r>
              <w:rPr>
                <w:rFonts w:ascii="宋体" w:hAnsi="宋体" w:eastAsia="宋体" w:cs="宋体"/>
                <w:color w:val="000000"/>
                <w:sz w:val="21"/>
              </w:rPr>
              <w:br w:type="textWrapping"/>
            </w: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r>
              <w:rPr>
                <w:rFonts w:ascii="宋体" w:hAnsi="宋体" w:eastAsia="宋体" w:cs="宋体"/>
                <w:color w:val="000000"/>
                <w:sz w:val="21"/>
              </w:rPr>
              <w:t xml:space="preserve">    权益方面：</w:t>
            </w:r>
            <w:r>
              <w:rPr>
                <w:rFonts w:ascii="宋体" w:hAnsi="宋体" w:eastAsia="宋体" w:cs="宋体"/>
                <w:color w:val="000000"/>
                <w:sz w:val="21"/>
              </w:rPr>
              <w:br w:type="textWrapping"/>
            </w:r>
            <w:r>
              <w:rPr>
                <w:rFonts w:ascii="宋体" w:hAnsi="宋体" w:eastAsia="宋体" w:cs="宋体"/>
                <w:color w:val="000000"/>
                <w:sz w:val="21"/>
              </w:rP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r>
            <w:r>
              <w:rPr>
                <w:rFonts w:ascii="宋体" w:hAnsi="宋体" w:eastAsia="宋体" w:cs="宋体"/>
                <w:color w:val="000000"/>
                <w:sz w:val="21"/>
              </w:rPr>
              <w:br w:type="textWrapping"/>
            </w:r>
            <w:r>
              <w:rPr>
                <w:rFonts w:ascii="宋体" w:hAnsi="宋体" w:eastAsia="宋体" w:cs="宋体"/>
                <w:color w:val="000000"/>
                <w:sz w:val="21"/>
              </w:rPr>
              <w:t xml:space="preserve">    在四季度，本产品依然保持相对较高仓位，结构上小幅微调，在维持均衡配置基础的基础上，逐步从年末开始</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转往进攻方向，减持偏价值持仓，往包括医药、科技等成长性更好板块适当倾斜。</w:t>
            </w:r>
            <w:r>
              <w:rPr>
                <w:rFonts w:ascii="宋体" w:hAnsi="宋体" w:eastAsia="宋体" w:cs="宋体"/>
                <w:color w:val="000000"/>
                <w:sz w:val="21"/>
              </w:rPr>
              <w:br w:type="textWrapping"/>
            </w:r>
            <w:r>
              <w:rPr>
                <w:rFonts w:ascii="宋体" w:hAnsi="宋体" w:eastAsia="宋体" w:cs="宋体"/>
                <w:color w:val="000000"/>
                <w:sz w:val="21"/>
              </w:rP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439,028,139.84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99,995,800.00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59,179,080.00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22银河C5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48,770,300.00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华泰柏瑞沪深300ETF-场内（510300.SH）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44,050,468.00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22海鸿05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38,101,160.00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21康居01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29,812,320.00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29,791,950.00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051010100101016411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2DF04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2023-01-17T01:21:19Z</dcterms:created>
  <dc:creator>cib</dc:creator>
  <cp:lastModifiedBy>cib</cp:lastModifiedBy>
  <dcterms:modified xsi:type="dcterms:W3CDTF">2023-01-17T01:29:04Z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