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兴银理财万利宝聚利2021年第7期净值型理财产品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兴银理财万利宝聚利2021年第7期净值型理财产品2022年第四季度报告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兴银理财万利宝聚利2021年第7期净值型理财产品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9K121070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Z7002021A000179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聚利海峡2021-7（私行专属）A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9K12107A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99,140,000.00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聚利海峡2021-7（私行专属）B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9K12107B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100,860,000.00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兴银理财万利宝聚利2021年第7期净值型理财产品2022年第四季度报告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产品9K12107A自成立日以来，累计净值增长率为5.4360%，年化累计净值增长率为5.1270%。</w:t>
              <w:br/>
              <w:t xml:space="preserve">产品9K12107B自成立日以来，累计净值增长率为5.5440%，年化累计净值增长率为5.2288%。</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9K121070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201,487,664.10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9K12107A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99,874,634.79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9K12107B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1.05544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101,613,029.31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刘稹先生，伦敦国王学院硕士，证券从业资格。2017年加入兴业银行集团，金融从业5年，现任兴银理财项目投资部投资经理，积累丰富的投资管理经验，专注于非标债权投资。   </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本产品主要投资于非标准化债权类资产，以持有至到期策略为主。投资标的为“厦门国贸集团股份有限公司2021年度第二期债权融资计划”，该融资计划融资人为厦门国贸集团股份有限公司。</w:t>
              <w:br/>
              <w:t xml:space="preserve">    截至2022年12月末，融资人利息兑付正常。</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兴银理财万利宝聚利2021年第7期净值型理财产品2022年第四季度报告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21闽厦门国贸集团ZR002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200,462,800.00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99.49</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兴银理财万利宝聚利2021年第7期净值型理财产品2022年第四季度报告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051010100101255627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兴银理财万利宝聚利2021年第7期净值型理财产品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