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兴银理财兴易睿享一年定期开放1号权益类理财产品2022年第四季度报告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兴银理财兴易睿享一年定期开放1号权益类理财产品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兴银理财兴易睿享一年定期开放1号权益类理财产品2022年第四季度报告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兴银理财兴易睿享一年定期开放1号权益类理财产品2022年第四季度报告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兴银理财兴易睿享一年定期开放1号权益类理财产品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9K202110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Z7002021A000254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权益类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22,030,000.00份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4.20%--8.50%/--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产品9K202110自成立日以来，累计净值增长率为5.6860%，年化累计净值增长率为5.5640%。</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兴银理财兴易睿享一年定期开放1号权益类理财产品2022年第四季度报告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1.05686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1.05686</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23,282,544.95</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浩先生，CFA，FRM，美国芝加哥大学金融数学硕士，2016年加入兴业银行，金融从业10年，曾在中国金融期货交易所工作，为股指期货、股指期权的开发和上市的核心团队成员，在量化投资和衍生品投资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12 月，A 股大小指数表现分化，沪深 300 指数上涨 0.48%，中证 500 指数下跌-4.74%，中证 1000 指数下跌-4.68%。市场风格方面，整月来看大盘股表现明显优于中小盘股。流动性方面，本月市场交投情绪趋弱，成交量大幅回落；分阶段看，上半旬市场延续强势行情，投资者情绪有所提升，下半旬随着疫情散发导致投资者情绪低迷，A 股市场出现回调；整月来看，两市日均成交额为 7,842.53 亿元，较上月下降-15.29%；沪、深两市换手率较上月明显走弱，环比分别下降-10.95%、-20.57%。波动率方面，本月沪深 300、中证 500、中证 1000 指数的波动水平均出现一定回落，三大数波动率来到今年中枢水平下方。 12 月大票指数整体企稳，中小票指数回调明显，A 股在月中出现震荡调整，市场流动性陷入低迷；得益于本月指数外个股获利能力较强，叠加量化略持仓高度分散的特点，在市场风格相对不利的情况下，取得一定幅度的超额收益。对冲成本部分，本月 IC 基差整体拉升，但短期内基差拓宽，对产品净值产生一定负面影响，扣除对冲成本后，产品整体盈利。 02. 市场展望 海外方面，美联储在 12 月如期加息 50 个基点，鹰派发言强调利率仍有上行空间，但美国 11 月通胀延续回落态势，通胀同比增速或已进入逐步回落的通道，展望 2023 年，美联储加息步伐放缓相对确定；此外，欧美相继推出新的产业计划，以应对疫后全球产业链供应链重塑，具有深远影响，但仍需关注全球金融稳定性及衰退的风险。国内方面，疫情防控政策进一步优化，12 月 PMI 数据下行深度较大，指向产需明显走弱，但随着部分城市疫情峰值压力的落地，疫情防控政策优化的效果正在显现，之前被抑制的部分消费需求开始释放；月中召开了中央经济工作会议，强调提振发展信心，推动整体经济好转和高质量发展。往后看，随着支持政策进一步向扩大内需和促进消费上倾斜，预计 2023 年消费恢复、内需扩大将成为确保经济回稳向上的重要力量。</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兴银理财兴易睿享一年定期开放1号权益类理财产品2022年第四季度报告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量化策略专户38号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23,053,505.59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99.02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兴银理财兴易睿享一年定期开放1号权益类理财产品2022年第四季度报告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051010100101318357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兴银理财兴易睿享一年定期开放1号权益类理财产品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