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兴银理财万汇通1号K款美元净值型理财产品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兴银理财万汇通1号K款美元净值型理财产品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6,666,915份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万汇通汇盈1号K款A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5,950,187.32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万汇通汇盈1号K款B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716,727.68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产品9W21011A自成立日以来，累计净值增长率为-1.2360%，年化累计净值增长率为-1.0467%。</w:t>
              <w:br/>
              <w:t xml:space="preserve">产品9W21011B自成立日以来，累计净值增长率为-1.2240%，年化累计净值增长率为-1.0366%。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6,584,618.79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5,876,668.72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707,950.07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全球债市企稳反弹，无风险收益率较三季度下行，中国主权利差大幅缩窄。美国国债整体收益率0.72%、美国投资级债券收益率3.63%、欧元计价投资级债券收益率-1.21%、全球投资级债券收益率4.55%、中资离岸投资级债券收益率1.43%（本产品配置资产均为中资离岸投资级债券）。全球债市价格在经历一年大跌后，终于在年底企稳上涨。美国国债收益率企稳主要是通胀预期见顶转向，美联储释放鸽派讲话，市场认为2023年一季度加息结束。本组合受益于收益率下行，净值于10月触底后反弹。</w:t>
              <w:br/>
              <w:t xml:space="preserve">    基于对2022年四季度市场走向不明朗的预判，组合管理整体中性，对组合进行了一定的调整，变现了一些弱资质地域债券，并增持了同等期限的优异主体债券。  </w:t>
              <w:br/>
              <w:t xml:space="preserve">    展望后市，市场年底已经较快的消化联储鸽派和通胀下行信息，接下来将进入第二阶段，利率震荡期；考虑今年人民币境内债券会迎来利率上行，信用利差会出现分化，未来仍以调主体组合为主，并考虑产品打开流动性兑付安排。  </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1,999,601.62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628,264.00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389,231.70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KMRLGP3.912/12/24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342,345.50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323,473.50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309,242.50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278,284.80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兴银理财万汇通1号K款美元净值型理财产品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