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35,960.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5,960.9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2.8710%，年化累计净值增长率为-3.52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9,696.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9,69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33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9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29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3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