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兴业银行天天万利宝稳利6号Z款净值型理财产品2022年第四季度报告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兴业银行天天万利宝稳利6号Z款净值型理财产品</w:t>
            </w:r>
            <w:r>
              <w:rPr>
                <w:rFonts w:ascii="宋体" w:hAnsi="宋体" w:eastAsia="宋体" w:cs="宋体"/>
                <w:b/>
                <w:color w:val="000000"/>
                <w:sz w:val="32"/>
              </w:rPr>
              <w:br w:type="textWrapping"/>
            </w:r>
            <w:r>
              <w:rPr>
                <w:rFonts w:ascii="宋体" w:hAnsi="宋体" w:eastAsia="宋体" w:cs="宋体"/>
                <w:b/>
                <w:color w:val="000000"/>
                <w:sz w:val="32"/>
              </w:rPr>
              <w:t>2022年第四季度报告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报告送出日期：2023年1月28日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兴业银行天天万利宝稳利6号Z款净值型理财产品2022年第四季度报告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兴业银行天天万利宝稳利6号Z款净值型理财产品2022年第四季度报告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兴业银行天天万利宝稳利6号Z款净值型理财产品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9K209300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Z7002021000127</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1,029,563,480.69份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稳利季季增利E款</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9K20930A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999,299,850.68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稳利季季增利E款B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9K20930B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7,730,193.00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稳利季季增利E款C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9K20930C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8,265,842.94</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兴业银行天天万利宝稳利6号Z款净值型理财产品2022年第四季度报告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稳利季季增利E款D</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9K20930D</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14,267,594.07</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产品9K20930A自成立日以来，累计净值增长率为4.7540%，年化累计净值增长率为2.9361%。</w:t>
            </w:r>
            <w:r>
              <w:rPr>
                <w:rFonts w:ascii="宋体" w:hAnsi="宋体" w:eastAsia="宋体" w:cs="宋体"/>
                <w:color w:val="000000"/>
                <w:sz w:val="21"/>
              </w:rPr>
              <w:br w:type="textWrapping"/>
            </w:r>
            <w:r>
              <w:rPr>
                <w:rFonts w:ascii="宋体" w:hAnsi="宋体" w:eastAsia="宋体" w:cs="宋体"/>
                <w:color w:val="000000"/>
                <w:sz w:val="21"/>
              </w:rPr>
              <w:t>产品9K20930B自成立日以来，累计净值增长率为1.4960%，年化累计净值增长率为1.7501%。</w:t>
            </w:r>
            <w:r>
              <w:rPr>
                <w:rFonts w:ascii="宋体" w:hAnsi="宋体" w:eastAsia="宋体" w:cs="宋体"/>
                <w:color w:val="000000"/>
                <w:sz w:val="21"/>
              </w:rPr>
              <w:br w:type="textWrapping"/>
            </w:r>
            <w:r>
              <w:rPr>
                <w:rFonts w:ascii="宋体" w:hAnsi="宋体" w:eastAsia="宋体" w:cs="宋体"/>
                <w:color w:val="000000"/>
                <w:sz w:val="21"/>
              </w:rPr>
              <w:t>产品9K20930C自成立日以来，累计净值增长率为0.0627%，年化累计净值增长率为0.1775%。</w:t>
            </w:r>
            <w:r>
              <w:rPr>
                <w:rFonts w:ascii="宋体" w:hAnsi="宋体" w:eastAsia="宋体" w:cs="宋体"/>
                <w:color w:val="000000"/>
                <w:sz w:val="21"/>
              </w:rPr>
              <w:br w:type="textWrapping"/>
            </w:r>
            <w:r>
              <w:rPr>
                <w:rFonts w:ascii="宋体" w:hAnsi="宋体" w:eastAsia="宋体" w:cs="宋体"/>
                <w:color w:val="000000"/>
                <w:sz w:val="21"/>
              </w:rPr>
              <w:t>产品9K20930D自成立日以来，累计净值增长率为0.7899%，年化累计净值增长率为1.3105%。</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9K209300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1.03652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1.04737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1,067,161,307.35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9K20930A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1.03669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1.04754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1,035,964,314.99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9K20930B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1.01496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1.01496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7,845,863.45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9K20930C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1.03660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1.03660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8,568,360.27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9K20930D</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1.03611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1.03611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14,782,768.64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赵天然女士，复旦大学经济学（数理经济方向）学士；复旦大学国际经济学硕士。具有10年固定收益领域投资交易经验。自2015年8月加入兴业银行以来，一直在资产管理事业部任投资经理，债券交易量近数千亿，交易能力出众；擅长利率债波段和信用债价值挖掘，对债券市场走势有深刻的理解。</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一、2022年四季度投资策略与运作回顾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2022年1-10月债市利率震荡下行。10年国债利率去年末的2.78%，下行至了10月末的2.64%，累计下行了14bp。利率上半年震荡为主，利率中枢在2.78%，信用则自3月以来持续下行，实现了信用利差的大幅压缩；11月以来，在地产政策不断出台叠加疫情政策放开的影响下，利率快速回升，11月单月10年国债上行22bp，而3年AA+城投上行了64bp，利差迅速走阔，且不断恶化；12月以来，市场进入第二轮负反馈，本轮负反馈的主要冲击来自12月打开的定开型产品的赎回，在利率和存单已经跌幅收窄的情况下，信用和二永仍保持较深的下跌幅度。截止2022</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兴业银行天天万利宝稳利6号Z款净值型理财产品2022年第四季度报告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9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年末，相比9</w:t>
            </w:r>
            <w:bookmarkStart w:id="7" w:name="_GoBack"/>
            <w:bookmarkEnd w:id="7"/>
            <w:r>
              <w:rPr>
                <w:rFonts w:ascii="宋体" w:hAnsi="宋体" w:eastAsia="宋体" w:cs="宋体"/>
                <w:color w:val="000000"/>
                <w:sz w:val="21"/>
              </w:rPr>
              <w:t>月底，10年国债上行8bp，同业存单上行43bp，3年AAA中票上行50bp，3年AA+中票上行74bp。</w:t>
            </w:r>
            <w:r>
              <w:rPr>
                <w:rFonts w:ascii="宋体" w:hAnsi="宋体" w:eastAsia="宋体" w:cs="宋体"/>
                <w:color w:val="000000"/>
                <w:sz w:val="21"/>
              </w:rPr>
              <w:br w:type="textWrapping"/>
            </w:r>
            <w:r>
              <w:rPr>
                <w:rFonts w:ascii="宋体" w:hAnsi="宋体" w:eastAsia="宋体" w:cs="宋体"/>
                <w:color w:val="000000"/>
                <w:sz w:val="21"/>
              </w:rPr>
              <w:t xml:space="preserve">    产品运作方面，考虑到边际抬升的资金利率、疫情、地产政策的边际变化，四季度整体采取了防守的投资策略，10月后逐步做了减仓。在具体操作方面，主要从相对增配低波资产、减持债券资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t>二、2023一季度投资策略展望</w:t>
            </w:r>
            <w:r>
              <w:rPr>
                <w:rFonts w:ascii="宋体" w:hAnsi="宋体" w:eastAsia="宋体" w:cs="宋体"/>
                <w:color w:val="000000"/>
                <w:sz w:val="21"/>
              </w:rPr>
              <w:br w:type="textWrapping"/>
            </w:r>
            <w:r>
              <w:rPr>
                <w:rFonts w:ascii="宋体" w:hAnsi="宋体" w:eastAsia="宋体" w:cs="宋体"/>
                <w:color w:val="000000"/>
                <w:sz w:val="21"/>
              </w:rP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6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9.87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76.17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88.59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6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兴业银行天天万利宝稳利6号Z款净值型理财产品2022年第四季度报告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兴业基金-兴富101号集合资产管理计划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100,139,888.09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9.38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22CSFD80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99,992,700.00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9.37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22CSFD93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99,991,200.00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9.37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22CSFD98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99,991,100.00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9.37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工商银行活期存款</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兴业基金-兴富99号集合资产管理计划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51,618,058.33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21农发清发01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51,413,900.00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21徐州新盛PPN002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50,235,550.00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21桂北01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40,242,400.00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20富港01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40,179,920.00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9K209300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21常德经建MTN002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9K209300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21泰兴城投PPN001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9K209300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21徐州新盛PPN002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兴业银行天天万利宝稳利6号Z款净值型理财产品2022年第四季度报告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051010100101200052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兴业银行天天万利宝稳利6号Z款净值型理财产品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2023年1月28日</w:t>
            </w:r>
          </w:p>
        </w:tc>
        <w:tc>
          <w:tcPr>
            <w:gridSpan w:val="4"/>
          </w:tcPr>
          <w:p>
            <w:pPr>
              <w:pStyle w:val="4"/>
            </w:pPr>
          </w:p>
        </w:tc>
        <w:tc>
          <w:p>
            <w:pPr>
              <w:pStyle w:val="4"/>
            </w:pPr>
          </w:p>
        </w:tc>
      </w:tr>
      <w:tr>
        <w:tblPrEx>
          <w:tblCellMar>
            <w:top w:w="0" w:type="dxa"/>
            <w:left w:w="10" w:type="dxa"/>
            <w:bottom w:w="0" w:type="dxa"/>
            <w:right w:w="10" w:type="dxa"/>
          </w:tblCellMar>
        </w:tblPrEx>
        <w:trPr>
          <w:trHeight w:val="11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documentProtection w:enforcement="0"/>
  <w:defaultTabStop w:val="800"/>
  <w:compat>
    <w:useFELayout/>
    <w:splitPgBreakAndParaMark/>
    <w:compatSetting w:name="compatibilityMode" w:uri="http://schemas.microsoft.com/office/word" w:val="12"/>
  </w:compat>
  <w:rsids>
    <w:rsidRoot w:val="00000000"/>
    <w:rsid w:val="289B27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2023-01-17T02:22:43Z</dcterms:created>
  <dc:creator>cib</dc:creator>
  <cp:lastModifiedBy>cib</cp:lastModifiedBy>
  <dcterms:modified xsi:type="dcterms:W3CDTF">2023-01-17T02:23:18Z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