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20"/>
        <w:gridCol w:w="1"/>
      </w:tblGrid>
      <w:tr>
        <w:tblPrEx>
          <w:tblCellMar>
            <w:top w:w="0" w:type="dxa"/>
            <w:left w:w="10" w:type="dxa"/>
            <w:bottom w:w="0" w:type="dxa"/>
            <w:right w:w="10" w:type="dxa"/>
          </w:tblCellMar>
        </w:tblPrEx>
        <w:trPr>
          <w:gridAfter w:val="3"/>
          <w:wAfter w:w="40" w:type="dxa"/>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兴银理财增盈优选25号净值型理财产品</w:t>
            </w:r>
            <w:r>
              <w:rPr>
                <w:rFonts w:ascii="宋体" w:hAnsi="宋体" w:eastAsia="宋体" w:cs="宋体"/>
                <w:b/>
                <w:color w:val="000000"/>
                <w:sz w:val="32"/>
              </w:rPr>
              <w:br w:type="textWrapping"/>
            </w:r>
            <w:r>
              <w:rPr>
                <w:rFonts w:ascii="宋体" w:hAnsi="宋体" w:eastAsia="宋体" w:cs="宋体"/>
                <w:b/>
                <w:color w:val="000000"/>
                <w:sz w:val="32"/>
              </w:rPr>
              <w:t>2022年第三季度报告</w:t>
            </w:r>
          </w:p>
        </w:tc>
        <w:tc>
          <w:p>
            <w:pPr>
              <w:pStyle w:val="4"/>
            </w:pPr>
          </w:p>
        </w:tc>
      </w:tr>
      <w:tr>
        <w:tblPrEx>
          <w:tblCellMar>
            <w:top w:w="0" w:type="dxa"/>
            <w:left w:w="10" w:type="dxa"/>
            <w:bottom w:w="0" w:type="dxa"/>
            <w:right w:w="10" w:type="dxa"/>
          </w:tblCellMar>
        </w:tblPrEx>
        <w:trPr>
          <w:gridAfter w:val="3"/>
          <w:wAfter w:w="40" w:type="dxa"/>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报告送出日期：2022年10月26日</w:t>
            </w: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3"/>
          <w:wAfter w:w="40" w:type="dxa"/>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3"/>
          <w:wAfter w:w="40" w:type="dxa"/>
          <w:trHeight w:val="0" w:hRule="atLeast"/>
        </w:trPr>
        <w:tc>
          <w:p>
            <w:pPr>
              <w:pStyle w:val="4"/>
              <w:pageBreakBefore/>
            </w:pPr>
            <w:bookmarkStart w:id="2" w:name="JR_PAGE_ANCHOR_0_3"/>
            <w:bookmarkEnd w:id="2"/>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3"/>
          <w:wAfter w:w="40" w:type="dxa"/>
          <w:trHeight w:val="6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3"/>
          <w:wAfter w:w="40" w:type="dxa"/>
          <w:trHeight w:val="20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兴银理财增盈优选25号净值型理财产品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9K221025</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Z7002021000116</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开放式</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1,580,842,590.07份</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4.40%--6.00%/--</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R3</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3"/>
          <w:wAfter w:w="40" w:type="dxa"/>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3"/>
          <w:wAfter w:w="40" w:type="dxa"/>
          <w:trHeight w:val="1800" w:hRule="exact"/>
        </w:trPr>
        <w:tc>
          <w:p>
            <w:pPr>
              <w:pStyle w:val="4"/>
            </w:pPr>
          </w:p>
        </w:tc>
        <w:tc>
          <w:tcPr>
            <w:gridSpan w:val="15"/>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增盈优选25号A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9K221125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1,288,364,979.32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增盈优选25号B（私行专属）</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9K221225</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292,477,610.75</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3"/>
          <w:wAfter w:w="40" w:type="dxa"/>
          <w:trHeight w:val="1120" w:hRule="exact"/>
        </w:trPr>
        <w:tc>
          <w:p>
            <w:pPr>
              <w:pStyle w:val="4"/>
            </w:pPr>
          </w:p>
        </w:tc>
        <w:tc>
          <w:tcPr>
            <w:gridSpan w:val="6"/>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3"/>
          <w:wAfter w:w="40" w:type="dxa"/>
          <w:trHeight w:val="400" w:hRule="atLeast"/>
        </w:trPr>
        <w:tc>
          <w:p>
            <w:pPr>
              <w:pStyle w:val="4"/>
            </w:pPr>
          </w:p>
        </w:tc>
        <w:tc>
          <w:tcPr>
            <w:gridSpan w:val="6"/>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产品9K221125自成立日以来，累计净值增长率为3.8280%，年化累计净值增长率为3.0641%。</w:t>
            </w:r>
            <w:r>
              <w:rPr>
                <w:rFonts w:ascii="宋体" w:hAnsi="宋体" w:eastAsia="宋体" w:cs="宋体"/>
                <w:color w:val="000000"/>
                <w:sz w:val="21"/>
              </w:rPr>
              <w:br w:type="textWrapping"/>
            </w:r>
            <w:r>
              <w:rPr>
                <w:rFonts w:ascii="宋体" w:hAnsi="宋体" w:eastAsia="宋体" w:cs="宋体"/>
                <w:color w:val="000000"/>
                <w:sz w:val="21"/>
              </w:rPr>
              <w:t>产品9K221225自成立日以来，累计净值增长率为3.9880%，年化累计净值增长率为3.1921%。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1.03858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1,641,832,211.87</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1800" w:hRule="exact"/>
        </w:trPr>
        <w:tc>
          <w:p>
            <w:pPr>
              <w:pStyle w:val="4"/>
            </w:pPr>
          </w:p>
        </w:tc>
        <w:tc>
          <w:p>
            <w:pPr>
              <w:pStyle w:val="4"/>
            </w:pPr>
          </w:p>
        </w:tc>
        <w:tc>
          <w:p>
            <w:pPr>
              <w:pStyle w:val="4"/>
            </w:pPr>
          </w:p>
        </w:tc>
        <w:tc>
          <w:tcPr>
            <w:gridSpan w:val="16"/>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9K221125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1.03828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1,337,689,693.88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9K221225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2022年9月30日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1.03988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304,142,517.99</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9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420" w:firstLineChars="200"/>
              <w:jc w:val="left"/>
            </w:pPr>
            <w:r>
              <w:rPr>
                <w:rFonts w:ascii="宋体" w:hAnsi="宋体" w:eastAsia="宋体" w:cs="宋体"/>
                <w:color w:val="000000"/>
                <w:sz w:val="21"/>
              </w:rPr>
              <w:t>三季度整体经济从疫情中有明显复苏，但房地产风险愈演愈烈。7月保交楼成为焦点，房贷违约，烂尾楼为普遍现象，央行主动降息，给债市带来一轮下行行情，打开市场对重启降息通道的信心。但随后社融数据好转，稳楼市的信用宽松政策不断出台，调降LPR长期利率等措施都对债市不利，叠加9月汇率快速贬值，利率在季末大幅上行。权益方面，7月延续疫情复苏后的成长股行情，市场较为乐观，即使美出台芯片法案却也导致电子板块在下行周期有一轮大幅反弹。但8月中旬任正非传递寒意，佩洛西窜访台湾，美欧以新疆人权问题打压中国企业等事件，叠加海外加息进程超预期，俄乌冲突导致欧洲能源危机，致使权益市场较大幅度的下跌，沪市重回3000点附近，市场悲观情绪浓重。本报告期内，本组合根据市场情况适当调整债券持仓，利用利率衍生品对冲久期风险。对权益资产适当配置并积极调整结构。本组合净值在本报告期内表现尚可。</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2"/>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4" w:name="JR_PAGE_ANCHOR_0_5"/>
            <w:bookmarkEnd w:id="4"/>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5.44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13.38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32.32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0.88</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报告期末本产品总资产未超过该产品净资产规模的140%，符合产品协议对本产品杠杆比例的要求。</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w:t>
            </w:r>
            <w:r>
              <w:rPr>
                <w:rFonts w:hint="eastAsia" w:ascii="宋体" w:hAnsi="宋体" w:eastAsia="宋体" w:cs="宋体"/>
                <w:color w:val="000000"/>
                <w:sz w:val="21"/>
                <w:lang w:val="en-US" w:eastAsia="zh-CN"/>
              </w:rPr>
              <w:t xml:space="preserve"> </w:t>
            </w:r>
            <w:r>
              <w:rPr>
                <w:rFonts w:ascii="宋体" w:hAnsi="宋体" w:eastAsia="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hint="eastAsia" w:ascii="宋体" w:hAnsi="宋体" w:eastAsia="宋体" w:cs="宋体"/>
                <w:color w:val="000000"/>
                <w:sz w:val="21"/>
                <w:lang w:val="en-US" w:eastAsia="zh-CN"/>
              </w:rPr>
              <w:t xml:space="preserve">    </w:t>
            </w:r>
            <w:r>
              <w:rPr>
                <w:rFonts w:ascii="宋体" w:hAnsi="宋体" w:eastAsia="宋体" w:cs="宋体"/>
                <w:color w:val="000000"/>
                <w:sz w:val="21"/>
              </w:rPr>
              <w:t>为防范无法支付赎回款而产生的流动性风险，本理财产品管理人将合理安排所投资产期限，持续根据市场变化情况做好投资安排，尽可能降低产品流动性风险，有效保障理财持有人利益。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p>
            <w:pPr>
              <w:pStyle w:val="4"/>
            </w:pPr>
          </w:p>
        </w:tc>
        <w:tc>
          <w:tcPr>
            <w:gridSpan w:val="16"/>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3040" w:hRule="exact"/>
        </w:trPr>
        <w:tc>
          <w:p>
            <w:pPr>
              <w:pStyle w:val="4"/>
            </w:pPr>
          </w:p>
        </w:tc>
        <w:tc>
          <w:p>
            <w:pPr>
              <w:pStyle w:val="4"/>
            </w:pPr>
          </w:p>
        </w:tc>
        <w:tc>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Z京-同业借款20220506007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239,967,366.71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14.62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建信保险资管-浦江粤启1号资产支持计划第5期—万科（深圳分行）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200,061,800.00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12.19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云南信托-好景12号单一资金信托</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128,013,312.00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7.80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景顺长城鼎安1号集合资产管理计划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126,020,367.77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3600" w:hRule="exact"/>
        </w:trPr>
        <w:tc>
          <w:p>
            <w:pPr>
              <w:pStyle w:val="4"/>
            </w:pPr>
          </w:p>
        </w:tc>
        <w:tc>
          <w:tcPr>
            <w:gridSpan w:val="2"/>
          </w:tcPr>
          <w:p>
            <w:pPr>
              <w:pStyle w:val="4"/>
            </w:pPr>
          </w:p>
        </w:tc>
        <w:tc>
          <w:tcPr>
            <w:gridSpan w:val="16"/>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21国债16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79,043,055.00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贵阳市工商产业投资集团有限公司可转债优先配售融资业务（0.6亿）</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60,021,840.00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3.66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22南控01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50,428,700.00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3.07</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22蜀道投资MTN008(乡村振兴)</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50,239,250.00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交行优1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45,368,955.00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2.76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兴瀚资管兴添翼22号集合资产管理计划</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41,362,229.10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tcPr>
            <w:gridSpan w:val="3"/>
          </w:tcPr>
          <w:p>
            <w:pPr>
              <w:pStyle w:val="4"/>
            </w:pPr>
          </w:p>
        </w:tc>
        <w:tc>
          <w:p>
            <w:pPr>
              <w:pStyle w:val="4"/>
            </w:pPr>
          </w:p>
        </w:tc>
      </w:tr>
      <w:tr>
        <w:tblPrEx>
          <w:tblCellMar>
            <w:top w:w="0" w:type="dxa"/>
            <w:left w:w="10" w:type="dxa"/>
            <w:bottom w:w="0" w:type="dxa"/>
            <w:right w:w="10" w:type="dxa"/>
          </w:tblCellMar>
        </w:tblPrEx>
        <w:trPr>
          <w:trHeight w:val="6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3000"/>
              <w:gridCol w:w="2800"/>
              <w:gridCol w:w="3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21常德城投PPN005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21福清国资MTN001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21惠山国投MTN002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21建发集MTN002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21胶州城投MTN002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21太仓水务MTN001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21溧阳城建PPN001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22栾川钼业MTN001(可持续挂钩)</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tcPr>
            <w:gridSpan w:val="3"/>
          </w:tcPr>
          <w:p>
            <w:pPr>
              <w:pStyle w:val="4"/>
            </w:pPr>
          </w:p>
        </w:tc>
        <w:tc>
          <w:p>
            <w:pPr>
              <w:pStyle w:val="4"/>
            </w:pPr>
          </w:p>
        </w:tc>
      </w:tr>
      <w:tr>
        <w:tblPrEx>
          <w:tblCellMar>
            <w:top w:w="0" w:type="dxa"/>
            <w:left w:w="10" w:type="dxa"/>
            <w:bottom w:w="0" w:type="dxa"/>
            <w:right w:w="10" w:type="dxa"/>
          </w:tblCellMar>
        </w:tblPrEx>
        <w:trPr>
          <w:trHeight w:val="129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rPr>
                            <w:rFonts w:ascii="宋体" w:hAnsi="宋体" w:eastAsia="宋体" w:cs="宋体"/>
                            <w:b/>
                            <w:color w:val="000000"/>
                            <w:sz w:val="21"/>
                          </w:rPr>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W w:w="16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2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5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9K221025</w:t>
                        </w:r>
                      </w:p>
                    </w:tc>
                    <w:tc>
                      <w:p>
                        <w:pPr>
                          <w:pStyle w:val="4"/>
                        </w:pP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21兴资01</w:t>
                        </w:r>
                      </w:p>
                    </w:tc>
                  </w:tr>
                </w:tbl>
                <w:p>
                  <w:pPr>
                    <w:pStyle w:val="4"/>
                  </w:pPr>
                </w:p>
              </w:tc>
              <w:tc>
                <w:tcPr>
                  <w:tcW w:w="22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w:t>
                        </w:r>
                      </w:p>
                    </w:tc>
                  </w:tr>
                </w:tbl>
                <w:p>
                  <w:pPr>
                    <w:pStyle w:val="4"/>
                  </w:pPr>
                </w:p>
              </w:tc>
              <w:tc>
                <w:tcPr>
                  <w:tcW w:w="18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18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授信</w:t>
                        </w:r>
                      </w:p>
                    </w:tc>
                  </w:tr>
                </w:tbl>
                <w:p>
                  <w:pPr>
                    <w:pStyle w:val="4"/>
                  </w:pPr>
                </w:p>
              </w:tc>
              <w:tc>
                <w:tcPr>
                  <w:tcW w:w="2900" w:type="dxa"/>
                  <w:tcBorders>
                    <w:top w:val="single" w:color="000000" w:sz="4" w:space="0"/>
                    <w:left w:val="single" w:color="000000" w:sz="4" w:space="0"/>
                    <w:bottom w:val="single" w:color="000000" w:sz="4" w:space="0"/>
                    <w:right w:val="single" w:color="000000" w:sz="4" w:space="0"/>
                  </w:tcBorders>
                  <w:shd w:val="clear" w:color="auto" w:fill="FFFFFF" w:themeFill="background1"/>
                  <w:tcMar>
                    <w:top w:w="0" w:type="dxa"/>
                    <w:left w:w="0" w:type="dxa"/>
                    <w:bottom w:w="0" w:type="dxa"/>
                    <w:right w:w="0" w:type="dxa"/>
                  </w:tcMar>
                  <w:vAlign w:val="top"/>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兴业资产管理有限公司</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bookmarkStart w:id="7" w:name="_GoBack"/>
            <w:bookmarkEnd w:id="7"/>
          </w:p>
        </w:tc>
        <w:tc>
          <w:tcPr>
            <w:gridSpan w:val="3"/>
          </w:tcPr>
          <w:p>
            <w:pPr>
              <w:pStyle w:val="4"/>
            </w:pPr>
          </w:p>
        </w:tc>
        <w:tc>
          <w:p>
            <w:pPr>
              <w:pStyle w:val="4"/>
            </w:pPr>
          </w:p>
        </w:tc>
      </w:tr>
      <w:tr>
        <w:tblPrEx>
          <w:tblCellMar>
            <w:top w:w="0" w:type="dxa"/>
            <w:left w:w="10" w:type="dxa"/>
            <w:bottom w:w="0" w:type="dxa"/>
            <w:right w:w="10" w:type="dxa"/>
          </w:tblCellMar>
        </w:tblPrEx>
        <w:trPr>
          <w:trHeight w:val="900" w:hRule="exact"/>
        </w:trPr>
        <w:tc>
          <w:p>
            <w:pPr>
              <w:pStyle w:val="4"/>
            </w:pPr>
          </w:p>
        </w:tc>
        <w:tc>
          <w:tcPr>
            <w:gridSpan w:val="2"/>
          </w:tcPr>
          <w:p>
            <w:pPr>
              <w:pStyle w:val="4"/>
            </w:pPr>
          </w:p>
        </w:tc>
        <w:tc>
          <w:tcPr>
            <w:gridSpan w:val="2"/>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兴银理财增盈优选25号净值型理财产品2022年第三季度报告</w:t>
            </w: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600"/>
              <w:gridCol w:w="2200"/>
              <w:gridCol w:w="2200"/>
              <w:gridCol w:w="1800"/>
              <w:gridCol w:w="29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5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9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051010100101214224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兴银理财增盈优选25号净值型理财产品</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2022年10月26日</w:t>
            </w:r>
          </w:p>
        </w:tc>
        <w:tc>
          <w:tcPr>
            <w:gridSpan w:val="3"/>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3"/>
          </w:tcPr>
          <w:p>
            <w:pPr>
              <w:pStyle w:val="4"/>
            </w:pPr>
          </w:p>
        </w:tc>
        <w:tc>
          <w:p>
            <w:pPr>
              <w:pStyle w:val="4"/>
            </w:pPr>
          </w:p>
        </w:tc>
      </w:tr>
    </w:tbl>
    <w:p/>
    <w:sectPr>
      <w:pgSz w:w="11900" w:h="16840"/>
      <w:pgMar w:top="600" w:right="560" w:bottom="240" w:left="600" w:header="0" w:footer="0" w:gutter="0"/>
      <w:pgBorders>
        <w:top w:val="none" w:sz="0" w:space="0"/>
        <w:left w:val="none" w:sz="0" w:space="0"/>
        <w:bottom w:val="none" w:sz="0" w:space="0"/>
        <w:right w:val="none" w:sz="0" w:space="0"/>
      </w:pgBorders>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800"/>
  <w:compat>
    <w:useFELayout/>
    <w:splitPgBreakAndParaMark/>
    <w:compatSetting w:name="compatibilityMode" w:uri="http://schemas.microsoft.com/office/word" w:val="12"/>
  </w:compat>
  <w:rsids>
    <w:rsidRoot w:val="00000000"/>
    <w:rsid w:val="1B705726"/>
    <w:rsid w:val="1B903B3B"/>
    <w:rsid w:val="277B3D73"/>
    <w:rsid w:val="2A02043D"/>
    <w:rsid w:val="54614474"/>
    <w:rsid w:val="6D2E07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1</TotalTime>
  <ScaleCrop>false</ScaleCrop>
  <LinksUpToDate>false</LinksUpToDate>
  <Application>WPS Office_11.8.2.10154_F1E327BC-269C-435d-A152-05C5408002CA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2022-10-21T05:37:00Z</dcterms:created>
  <dc:creator>User</dc:creator>
  <cp:lastModifiedBy>cib</cp:lastModifiedBy>
  <dcterms:modified xsi:type="dcterms:W3CDTF">2023-02-20T06:08:55Z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