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兴银理财稳添利周盈1号净值型理财产品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兴银理财稳添利周盈1号净值型理财产品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9K710010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8,193,169,662.66份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兴银稳添利周盈1号</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9K71001A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4,750,371,925.79</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9K71001B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3,442,797,736.87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产品9K71001A自成立日以来，累计净值增长率为2.8350%，年化累计净值增长率为3.1938%。</w:t>
            </w:r>
            <w:r>
              <w:rPr>
                <w:rFonts w:ascii="宋体" w:hAnsi="宋体" w:eastAsia="宋体" w:cs="宋体"/>
                <w:color w:val="000000"/>
                <w:sz w:val="21"/>
              </w:rPr>
              <w:br w:type="textWrapping"/>
            </w:r>
            <w:r>
              <w:rPr>
                <w:rFonts w:ascii="宋体" w:hAnsi="宋体" w:eastAsia="宋体" w:cs="宋体"/>
                <w:color w:val="000000"/>
                <w:sz w:val="21"/>
              </w:rPr>
              <w:t>产品9K71001B自成立日以来，累计净值增长率为1.7146%，年化累计净值增长率为2.8577%。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8,422,439,488.54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4,885,055,311.88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3,537,384,176.66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42.16</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1,526,764,738.37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755,573,056.16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505,676,671.25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500,049,627.79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499,962,500.00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499,671,000.00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499,671,000.00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469,955,820.00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349,961,850.00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20万州经开MTN001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22钟楼新城PPN003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365" w:hRule="exact"/>
        </w:trPr>
        <w:tc>
          <w:tcPr>
            <w:tcW w:w="1"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W w:w="1580" w:type="dxa"/>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20"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20"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10700" w:type="dxa"/>
            <w:gridSpan w:val="15"/>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1"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bookmarkStart w:id="7" w:name="_GoBack"/>
            <w:bookmarkEnd w:id="7"/>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051010100101281460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兴银理财稳添利周盈1号净值型理财产品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23C7A62"/>
    <w:rsid w:val="0B0626B9"/>
    <w:rsid w:val="205E3425"/>
    <w:rsid w:val="228D4F3D"/>
    <w:rsid w:val="29454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2022-10-21T07:10:00Z</dcterms:created>
  <dc:creator>User</dc:creator>
  <cp:lastModifiedBy>cib</cp:lastModifiedBy>
  <dcterms:modified xsi:type="dcterms:W3CDTF">2023-02-20T06:32:43Z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