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820"/>
        <w:gridCol w:w="380"/>
        <w:gridCol w:w="740"/>
        <w:gridCol w:w="260"/>
        <w:gridCol w:w="1000"/>
        <w:gridCol w:w="1000"/>
        <w:gridCol w:w="1000"/>
        <w:gridCol w:w="2620"/>
        <w:gridCol w:w="220"/>
        <w:gridCol w:w="260"/>
        <w:gridCol w:w="200"/>
        <w:gridCol w:w="1"/>
        <w:gridCol w:w="19"/>
        <w:gridCol w:w="20"/>
        <w:gridCol w:w="1"/>
      </w:tblGrid>
      <w:tr>
        <w:tblPrEx>
          <w:tblCellMar>
            <w:top w:w="0" w:type="dxa"/>
            <w:left w:w="10" w:type="dxa"/>
            <w:bottom w:w="0" w:type="dxa"/>
            <w:right w:w="10" w:type="dxa"/>
          </w:tblCellMar>
        </w:tblPrEx>
        <w:trPr>
          <w:gridAfter w:val="3"/>
          <w:wAfter w:w="40" w:type="dxa"/>
          <w:trHeight w:val="0" w:hRule="atLeast"/>
        </w:trPr>
        <w:tc>
          <w:p>
            <w:pPr>
              <w:pStyle w:val="4"/>
            </w:pPr>
            <w:bookmarkStart w:id="0" w:name="JR_PAGE_ANCHOR_0_1"/>
            <w:bookmarkEnd w:id="0"/>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兴银理财稳添利短债6号净值型理财产品2022年第三季度报告</w:t>
            </w: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3"/>
          <w:wAfter w:w="40" w:type="dxa"/>
          <w:trHeight w:val="96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3020" w:hRule="atLeast"/>
        </w:trPr>
        <w:tc>
          <w:p>
            <w:pPr>
              <w:pStyle w:val="4"/>
            </w:pPr>
          </w:p>
        </w:tc>
        <w:tc>
          <w:tcPr>
            <w:gridSpan w:val="15"/>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兴银理财稳添利短债6号净值型理财产品</w:t>
            </w:r>
            <w:r>
              <w:rPr>
                <w:rFonts w:ascii="宋体" w:hAnsi="宋体" w:eastAsia="宋体" w:cs="宋体"/>
                <w:b/>
                <w:color w:val="000000"/>
                <w:sz w:val="32"/>
              </w:rPr>
              <w:br w:type="textWrapping"/>
            </w:r>
            <w:r>
              <w:rPr>
                <w:rFonts w:ascii="宋体" w:hAnsi="宋体" w:eastAsia="宋体" w:cs="宋体"/>
                <w:b/>
                <w:color w:val="000000"/>
                <w:sz w:val="32"/>
              </w:rPr>
              <w:t>2022年第三季度报告</w:t>
            </w:r>
          </w:p>
        </w:tc>
        <w:tc>
          <w:p>
            <w:pPr>
              <w:pStyle w:val="4"/>
            </w:pPr>
          </w:p>
        </w:tc>
      </w:tr>
      <w:tr>
        <w:tblPrEx>
          <w:tblCellMar>
            <w:top w:w="0" w:type="dxa"/>
            <w:left w:w="10" w:type="dxa"/>
            <w:bottom w:w="0" w:type="dxa"/>
            <w:right w:w="10" w:type="dxa"/>
          </w:tblCellMar>
        </w:tblPrEx>
        <w:trPr>
          <w:gridAfter w:val="3"/>
          <w:wAfter w:w="40" w:type="dxa"/>
          <w:trHeight w:val="660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报告送出日期：2022年10月26日</w:t>
            </w: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27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5"/>
          </w:tcPr>
          <w:p>
            <w:pPr>
              <w:pStyle w:val="4"/>
            </w:pPr>
          </w:p>
        </w:tc>
        <w:tc>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0" w:hRule="atLeast"/>
        </w:trPr>
        <w:tc>
          <w:p>
            <w:pPr>
              <w:pStyle w:val="4"/>
              <w:pageBreakBefore/>
            </w:pPr>
            <w:bookmarkStart w:id="1" w:name="JR_PAGE_ANCHOR_0_2"/>
            <w:bookmarkEnd w:id="1"/>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兴银理财稳添利短债6号净值型理财产品2022年第三季度报告</w:t>
            </w: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3"/>
          <w:wAfter w:w="40" w:type="dxa"/>
          <w:trHeight w:val="8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600" w:hRule="atLeast"/>
        </w:trPr>
        <w:tc>
          <w:p>
            <w:pPr>
              <w:pStyle w:val="4"/>
            </w:pPr>
          </w:p>
        </w:tc>
        <w:tc>
          <w:tcPr>
            <w:gridSpan w:val="3"/>
          </w:tcPr>
          <w:p>
            <w:pPr>
              <w:pStyle w:val="4"/>
            </w:pPr>
          </w:p>
        </w:tc>
        <w:tc>
          <w:tcPr>
            <w:gridSpan w:val="3"/>
          </w:tcPr>
          <w:p>
            <w:pPr>
              <w:pStyle w:val="4"/>
            </w:pPr>
          </w:p>
        </w:tc>
        <w:tc>
          <w:tcPr>
            <w:gridSpan w:val="2"/>
          </w:tcPr>
          <w:p>
            <w:pPr>
              <w:pStyle w:val="4"/>
            </w:pPr>
          </w:p>
        </w:tc>
        <w:tc>
          <w:tcPr>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4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6840" w:hRule="atLeast"/>
        </w:trPr>
        <w:tc>
          <w:p>
            <w:pPr>
              <w:pStyle w:val="4"/>
            </w:pPr>
          </w:p>
        </w:tc>
        <w:tc>
          <w:tcPr>
            <w:gridSpan w:val="3"/>
          </w:tcPr>
          <w:p>
            <w:pPr>
              <w:pStyle w:val="4"/>
            </w:pPr>
          </w:p>
        </w:tc>
        <w:tc>
          <w:tcPr>
            <w:gridSpan w:val="11"/>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p>
            <w:pPr>
              <w:pStyle w:val="4"/>
            </w:pPr>
          </w:p>
        </w:tc>
        <w:tc>
          <w:p>
            <w:pPr>
              <w:pStyle w:val="4"/>
            </w:pPr>
          </w:p>
        </w:tc>
      </w:tr>
      <w:tr>
        <w:tblPrEx>
          <w:tblCellMar>
            <w:top w:w="0" w:type="dxa"/>
            <w:left w:w="10" w:type="dxa"/>
            <w:bottom w:w="0" w:type="dxa"/>
            <w:right w:w="10" w:type="dxa"/>
          </w:tblCellMar>
        </w:tblPrEx>
        <w:trPr>
          <w:gridAfter w:val="3"/>
          <w:wAfter w:w="40" w:type="dxa"/>
          <w:trHeight w:val="608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3"/>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0" w:hRule="atLeast"/>
        </w:trPr>
        <w:tc>
          <w:p>
            <w:pPr>
              <w:pStyle w:val="4"/>
              <w:pageBreakBefore/>
            </w:pPr>
            <w:bookmarkStart w:id="2" w:name="JR_PAGE_ANCHOR_0_3"/>
            <w:bookmarkEnd w:id="2"/>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兴银理财稳添利短债6号净值型理财产品2022年第三季度报告</w:t>
            </w: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3"/>
          <w:wAfter w:w="40" w:type="dxa"/>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3"/>
          <w:wAfter w:w="40" w:type="dxa"/>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3080" w:hRule="atLeast"/>
        </w:trPr>
        <w:tc>
          <w:p>
            <w:pPr>
              <w:pStyle w:val="4"/>
            </w:pPr>
          </w:p>
        </w:tc>
        <w:tc>
          <w:tcPr>
            <w:gridSpan w:val="15"/>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3"/>
          <w:wAfter w:w="40" w:type="dxa"/>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3"/>
          <w:wAfter w:w="40" w:type="dxa"/>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兴银理财稳添利短债6号净值型理财产品</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9K810060</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Z7002021000130</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2,014,446,815.53份</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业绩比较基准/业绩报酬计提基准</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中债新综合全价（1年以下）指数收益率/--</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R2</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3"/>
          <w:wAfter w:w="40" w:type="dxa"/>
          <w:trHeight w:val="1200" w:hRule="exact"/>
        </w:trPr>
        <w:tc>
          <w:p>
            <w:pPr>
              <w:pStyle w:val="4"/>
            </w:pPr>
          </w:p>
        </w:tc>
        <w:tc>
          <w:tcPr>
            <w:gridSpan w:val="15"/>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兴银稳添利短债6号A</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9K81006A</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2,014,446,815.53</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3"/>
          <w:wAfter w:w="40" w:type="dxa"/>
          <w:trHeight w:val="17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6"/>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3" w:name="JR_PAGE_ANCHOR_0_4"/>
            <w:bookmarkEnd w:id="3"/>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兴银理财稳添利短债6号净值型理财产品2022年第三季度报告</w:t>
            </w: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gridSpan w:val="3"/>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2"/>
          </w:tcPr>
          <w:p>
            <w:pPr>
              <w:pStyle w:val="4"/>
            </w:pPr>
          </w:p>
        </w:tc>
        <w:tc>
          <w:tcPr>
            <w:gridSpan w:val="11"/>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产品9K81006A自成立日以来，累计净值增长率为3.6960%，年化累计净值增长率为3.4680%。</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6"/>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9K810060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1.03696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1.03696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2,088,899,981.17</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6"/>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9K81006A</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1.03696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1.03696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2,088,899,981.17</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3"/>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9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罗琦先生，上海财经大学硕士，10年券商和银行债券投资交易经验。2019年加入兴业银行资管，担任债券投资经理，主要负责纯债和股债混合产品投资管理工作。目前管理多只银行净值型理财产品，投资风格稳健，过往业绩优异。对宏观及利率走势有深入的研究，注重各类资产风险收益比，善于利用各类策略获取超额收益。</w:t>
            </w:r>
          </w:p>
        </w:tc>
        <w:tc>
          <w:tcPr>
            <w:gridSpan w:val="3"/>
          </w:tcPr>
          <w:p>
            <w:pPr>
              <w:pStyle w:val="4"/>
            </w:pPr>
          </w:p>
        </w:tc>
        <w:tc>
          <w:p>
            <w:pPr>
              <w:pStyle w:val="4"/>
            </w:pPr>
          </w:p>
        </w:tc>
      </w:tr>
      <w:tr>
        <w:tblPrEx>
          <w:tblCellMar>
            <w:top w:w="0" w:type="dxa"/>
            <w:left w:w="10" w:type="dxa"/>
            <w:bottom w:w="0" w:type="dxa"/>
            <w:right w:w="10" w:type="dxa"/>
          </w:tblCellMar>
        </w:tblPrEx>
        <w:trPr>
          <w:trHeight w:val="7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3"/>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592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一、2022年三季度投资策略与运作回顾</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2</w:t>
            </w:r>
            <w:r>
              <w:rPr>
                <w:rFonts w:ascii="宋体" w:hAnsi="宋体" w:eastAsia="宋体" w:cs="宋体"/>
                <w:color w:val="000000"/>
                <w:sz w:val="21"/>
              </w:rPr>
              <w:t>022年三季度债券收益率先下后上，呈V形走势。7月在疫情点状爆发、地产风波持续的影响下，经济修复预期转弱，市场避险情绪升温，叠加资金面宽松，债市整体震荡收涨，曲线小幅走陡，10年期国债收益率从2.85%附近下降至2.75%附近。8月资金面保持充裕，经济修复预期仍弱，央行意外降息打开利率下行空间，10年期国债收益率从月初的2.75%左右下行至2.62%附近。9月海外货币政策收紧，美元指数大涨、人民币汇率贬值，国内经济高频数据出现回暖迹象，稳增长与宽信用政策陆续出台，长短端利率震荡上行，10年期国债收益率从月初的2.62%左右上行至月末突破2.75%。</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r>
              <w:rPr>
                <w:rFonts w:ascii="宋体" w:hAnsi="宋体" w:eastAsia="宋体" w:cs="宋体"/>
                <w:color w:val="000000"/>
                <w:sz w:val="21"/>
              </w:rPr>
              <w:t>产品运作方面，考虑到偏松的货币政策、较弱的经济基本面预期、多地散发的疫情等因素，三季度整体加大了对久期策略的运用，7-8月中旬稳步提升产品平均久期，并在9月后逐步换仓止盈。在券种具体操作方面，主要跟踪利差的变动，进行积极调仓，从信用利差、期限利差等多角度为组合增厚投资收益。</w:t>
            </w:r>
            <w:r>
              <w:rPr>
                <w:rFonts w:ascii="宋体" w:hAnsi="宋体" w:eastAsia="宋体" w:cs="宋体"/>
                <w:color w:val="000000"/>
                <w:sz w:val="21"/>
              </w:rPr>
              <w:br w:type="textWrapping"/>
            </w:r>
            <w:r>
              <w:rPr>
                <w:rFonts w:ascii="宋体" w:hAnsi="宋体" w:eastAsia="宋体" w:cs="宋体"/>
                <w:color w:val="000000"/>
                <w:sz w:val="21"/>
              </w:rPr>
              <w:t>二、四季度投资策略</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r>
              <w:rPr>
                <w:rFonts w:ascii="宋体" w:hAnsi="宋体" w:eastAsia="宋体" w:cs="宋体"/>
                <w:color w:val="000000"/>
                <w:sz w:val="21"/>
              </w:rPr>
              <w:t>宏观经济方面，近期增量政策持续发力。9月地产放松政策频繁出台，地产销售情况也有所好转。预计四季度社融下行趋势放缓，经济基本面存在企稳可能。短期来看，稳增长宽信用政策不断发力，债市震荡调整行情可能持续；中期来看，在防疫政策保持严格、消费复苏偏弱、地产放松政策效果有待观察的环境下，资金面收紧概率较低，债市继续出现大幅调整的可能性也较低，预计仍将保持震荡行情，继续在合理范围进行动态操作。</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r>
              <w:rPr>
                <w:rFonts w:ascii="宋体" w:hAnsi="宋体" w:eastAsia="宋体" w:cs="宋体"/>
                <w:color w:val="000000"/>
                <w:sz w:val="21"/>
              </w:rPr>
              <w:t>基于上述对后市的判断，产品将继续保持稳健的投资风格。1、整体以久期和杠杆策略为主，如遇明显调整可将久期和杠杆调整至合意偏高的水平，审慎使用信用下沉策略。2、利率债优于信用债。3、资本债品种波动性较前期明显下降，且信用风险低、票息更高，可择机配置。4、关注“稳增长”政策加码、海外市场波动对债市的风险。</w:t>
            </w:r>
          </w:p>
        </w:tc>
        <w:tc>
          <w:tcPr>
            <w:gridSpan w:val="3"/>
          </w:tcPr>
          <w:p>
            <w:pPr>
              <w:pStyle w:val="4"/>
            </w:pPr>
          </w:p>
        </w:tc>
        <w:tc>
          <w:p>
            <w:pPr>
              <w:pStyle w:val="4"/>
            </w:pPr>
          </w:p>
        </w:tc>
      </w:tr>
      <w:tr>
        <w:tblPrEx>
          <w:tblCellMar>
            <w:top w:w="0" w:type="dxa"/>
            <w:left w:w="10" w:type="dxa"/>
            <w:bottom w:w="0" w:type="dxa"/>
            <w:right w:w="10" w:type="dxa"/>
          </w:tblCellMar>
        </w:tblPrEx>
        <w:trPr>
          <w:trHeight w:val="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4" w:name="JR_PAGE_ANCHOR_0_5"/>
            <w:bookmarkEnd w:id="4"/>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兴银理财稳添利短债6号净值型理财产品2022年第三季度报告</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8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c>
          <w:p>
            <w:pPr>
              <w:pStyle w:val="4"/>
            </w:pPr>
          </w:p>
        </w:tc>
      </w:tr>
      <w:tr>
        <w:tblPrEx>
          <w:tblCellMar>
            <w:top w:w="0" w:type="dxa"/>
            <w:left w:w="10" w:type="dxa"/>
            <w:bottom w:w="0" w:type="dxa"/>
            <w:right w:w="10" w:type="dxa"/>
          </w:tblCellMar>
        </w:tblPrEx>
        <w:trPr>
          <w:trHeight w:val="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400" w:hRule="exact"/>
        </w:trPr>
        <w:tc>
          <w:p>
            <w:pPr>
              <w:pStyle w:val="4"/>
            </w:pPr>
          </w:p>
        </w:tc>
        <w:tc>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5.39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94.61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bl>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10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报告期末本产品总资产未超过该产品净资产规模的140%，符合产品协议对本产品杠杆比例的要求。</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w:t>
            </w:r>
            <w:r>
              <w:rPr>
                <w:rFonts w:hint="eastAsia" w:ascii="宋体" w:hAnsi="宋体" w:eastAsia="宋体" w:cs="宋体"/>
                <w:color w:val="000000"/>
                <w:sz w:val="21"/>
                <w:lang w:val="en-US" w:eastAsia="zh-CN"/>
              </w:rPr>
              <w:t xml:space="preserve"> </w:t>
            </w:r>
            <w:r>
              <w:rPr>
                <w:rFonts w:ascii="宋体" w:hAnsi="宋体" w:eastAsia="宋体" w:cs="宋体"/>
                <w:color w:val="000000"/>
                <w:sz w:val="21"/>
              </w:rPr>
              <w:t>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ascii="宋体" w:hAnsi="宋体" w:eastAsia="宋体" w:cs="宋体"/>
                <w:color w:val="000000"/>
                <w:sz w:val="21"/>
              </w:rPr>
              <w:t>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5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p>
            <w:pPr>
              <w:pStyle w:val="4"/>
            </w:pPr>
          </w:p>
        </w:tc>
        <w:tc>
          <w:p>
            <w:pPr>
              <w:pStyle w:val="4"/>
            </w:pPr>
          </w:p>
        </w:tc>
        <w:tc>
          <w:tcPr>
            <w:gridSpan w:val="16"/>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trHeight w:val="4240" w:hRule="exact"/>
        </w:trPr>
        <w:tc>
          <w:p>
            <w:pPr>
              <w:pStyle w:val="4"/>
            </w:pPr>
          </w:p>
        </w:tc>
        <w:tc>
          <w:p>
            <w:pPr>
              <w:pStyle w:val="4"/>
            </w:pPr>
          </w:p>
        </w:tc>
        <w:tc>
          <w:p>
            <w:pPr>
              <w:pStyle w:val="4"/>
            </w:pPr>
          </w:p>
        </w:tc>
        <w:tc>
          <w:tcPr>
            <w:gridSpan w:val="16"/>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21CSFD203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199,991,000.00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9.57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22CSFD15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199,981,000.00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9.57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22CSFD14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199,980,800.00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9.57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22CSFD16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199,980,800.00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9.57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22CSFD80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199,978,000.00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9.57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19海保02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70,102,480.00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3.36</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1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p>
            <w:pPr>
              <w:pStyle w:val="4"/>
            </w:pPr>
          </w:p>
        </w:tc>
        <w:tc>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5" w:name="JR_PAGE_ANCHOR_0_6"/>
            <w:bookmarkEnd w:id="5"/>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兴银理财稳添利短债6号净值型理财产品2022年第三季度报告</w:t>
            </w: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400" w:hRule="exact"/>
        </w:trPr>
        <w:tc>
          <w:p>
            <w:pPr>
              <w:pStyle w:val="4"/>
            </w:pPr>
          </w:p>
        </w:tc>
        <w:tc>
          <w:tcPr>
            <w:gridSpan w:val="2"/>
          </w:tcPr>
          <w:p>
            <w:pPr>
              <w:pStyle w:val="4"/>
            </w:pPr>
          </w:p>
        </w:tc>
        <w:tc>
          <w:tcPr>
            <w:gridSpan w:val="16"/>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20海发02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60,689,460.00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2.91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工商银行活期存款</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60,000,000.00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2.87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20兴信02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50,664,600.00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2.43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20金禹01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50,320,450.00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2.41</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3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gridSpan w:val="3"/>
          </w:tcPr>
          <w:p>
            <w:pPr>
              <w:pStyle w:val="4"/>
            </w:pPr>
          </w:p>
        </w:tc>
        <w:tc>
          <w:p>
            <w:pPr>
              <w:pStyle w:val="4"/>
            </w:pPr>
          </w:p>
        </w:tc>
      </w:tr>
      <w:tr>
        <w:tblPrEx>
          <w:tblCellMar>
            <w:top w:w="0" w:type="dxa"/>
            <w:left w:w="10" w:type="dxa"/>
            <w:bottom w:w="0" w:type="dxa"/>
            <w:right w:w="10" w:type="dxa"/>
          </w:tblCellMar>
        </w:tblPrEx>
        <w:trPr>
          <w:trHeight w:val="60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9K810060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17景国资MTN002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9K810060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19兴信01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兴业国信资产管理有限公司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9K810060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19中国华融债01(品种一)</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9K810060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20闽建工MTN003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9K810060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20兴信02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兴业国信资产管理有限公司</w:t>
                        </w:r>
                      </w:p>
                    </w:tc>
                  </w:tr>
                </w:tbl>
                <w:p>
                  <w:pPr>
                    <w:pStyle w:val="4"/>
                  </w:pPr>
                </w:p>
              </w:tc>
            </w:tr>
            <w:tr>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9K810060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20株洲城建MTN002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9K810060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22西安投资SCP002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9K810060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22象屿金象CP002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9K810060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22镇国投CP001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3"/>
          </w:tcPr>
          <w:p>
            <w:pPr>
              <w:pStyle w:val="4"/>
            </w:pPr>
          </w:p>
        </w:tc>
        <w:tc>
          <w:p>
            <w:pPr>
              <w:pStyle w:val="4"/>
            </w:pPr>
          </w:p>
        </w:tc>
      </w:tr>
      <w:tr>
        <w:tblPrEx>
          <w:tblCellMar>
            <w:top w:w="0" w:type="dxa"/>
            <w:left w:w="10" w:type="dxa"/>
            <w:bottom w:w="0" w:type="dxa"/>
            <w:right w:w="10" w:type="dxa"/>
          </w:tblCellMar>
        </w:tblPrEx>
        <w:trPr>
          <w:trHeight w:val="1980" w:hRule="exact"/>
        </w:trPr>
        <w:tc>
          <w:tcPr>
            <w:tcW w:w="1" w:type="dxa"/>
            <w:vAlign w:val="top"/>
          </w:tcPr>
          <w:p>
            <w:pPr>
              <w:pStyle w:val="4"/>
            </w:pPr>
          </w:p>
        </w:tc>
        <w:tc>
          <w:tcPr>
            <w:tcW w:w="10700" w:type="dxa"/>
            <w:gridSpan w:val="15"/>
            <w:tcMar>
              <w:top w:w="0" w:type="dxa"/>
              <w:left w:w="0" w:type="dxa"/>
              <w:bottom w:w="0" w:type="dxa"/>
              <w:right w:w="0" w:type="dxa"/>
            </w:tcMar>
            <w:vAlign w:val="top"/>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9K810060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19兴信01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授信</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兴业国信资产管理有限公司</w:t>
                        </w:r>
                      </w:p>
                    </w:tc>
                  </w:tr>
                </w:tbl>
                <w:p>
                  <w:pPr>
                    <w:pStyle w:val="4"/>
                  </w:pPr>
                </w:p>
              </w:tc>
            </w:tr>
            <w:tr>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9K810060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20兴信02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授信</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兴业国信资产管理有限公司</w:t>
                        </w:r>
                      </w:p>
                    </w:tc>
                  </w:tr>
                </w:tbl>
                <w:p>
                  <w:pPr>
                    <w:pStyle w:val="4"/>
                  </w:pPr>
                </w:p>
              </w:tc>
            </w:tr>
          </w:tbl>
          <w:p>
            <w:pPr>
              <w:pStyle w:val="4"/>
            </w:pPr>
          </w:p>
        </w:tc>
        <w:tc>
          <w:tcPr>
            <w:tcW w:w="40" w:type="dxa"/>
            <w:gridSpan w:val="3"/>
            <w:vAlign w:val="top"/>
          </w:tcPr>
          <w:p>
            <w:pPr>
              <w:pStyle w:val="4"/>
            </w:pPr>
          </w:p>
        </w:tc>
        <w:tc>
          <w:tcPr>
            <w:tcW w:w="1" w:type="dxa"/>
            <w:vAlign w:val="top"/>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9K810060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19兴信01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授信</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兴业国信资产管理有限公司</w:t>
                        </w:r>
                      </w:p>
                    </w:tc>
                  </w:tr>
                </w:tbl>
                <w:p>
                  <w:pPr>
                    <w:pStyle w:val="4"/>
                  </w:pPr>
                </w:p>
              </w:tc>
            </w:tr>
            <w:tr>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9K810060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20兴信02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授信</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兴业国信资产管理有限公司</w:t>
                        </w:r>
                      </w:p>
                    </w:tc>
                  </w:tr>
                </w:tbl>
                <w:p>
                  <w:pPr>
                    <w:pStyle w:val="4"/>
                  </w:pPr>
                </w:p>
              </w:tc>
            </w:tr>
          </w:tbl>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1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400" w:hRule="atLeast"/>
        </w:trPr>
        <w:tc>
          <w:p>
            <w:pPr>
              <w:pStyle w:val="4"/>
            </w:pPr>
            <w:bookmarkStart w:id="7" w:name="_GoBack"/>
            <w:bookmarkEnd w:id="7"/>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6" w:name="JR_PAGE_ANCHOR_0_7"/>
            <w:bookmarkEnd w:id="6"/>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兴银理财稳添利短债6号净值型理财产品2022年第三季度报告</w:t>
            </w: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051010100101228146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兴银理财稳添利短债6号净值型理财产品</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9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top"/>
          </w:tcPr>
          <w:p>
            <w:pPr>
              <w:jc w:val="right"/>
            </w:pPr>
            <w:r>
              <w:rPr>
                <w:rFonts w:ascii="宋体" w:hAnsi="宋体" w:eastAsia="宋体" w:cs="宋体"/>
                <w:color w:val="000000"/>
                <w:sz w:val="21"/>
              </w:rPr>
              <w:t>2022年10月26日</w:t>
            </w:r>
          </w:p>
        </w:tc>
        <w:tc>
          <w:tcPr>
            <w:gridSpan w:val="3"/>
          </w:tcPr>
          <w:p>
            <w:pPr>
              <w:pStyle w:val="4"/>
            </w:pPr>
          </w:p>
        </w:tc>
        <w:tc>
          <w:p>
            <w:pPr>
              <w:pStyle w:val="4"/>
            </w:pPr>
          </w:p>
        </w:tc>
      </w:tr>
      <w:tr>
        <w:tblPrEx>
          <w:tblCellMar>
            <w:top w:w="0" w:type="dxa"/>
            <w:left w:w="10" w:type="dxa"/>
            <w:bottom w:w="0" w:type="dxa"/>
            <w:right w:w="10" w:type="dxa"/>
          </w:tblCellMar>
        </w:tblPrEx>
        <w:trPr>
          <w:trHeight w:val="1184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3"/>
          </w:tcPr>
          <w:p>
            <w:pPr>
              <w:pStyle w:val="4"/>
            </w:pPr>
          </w:p>
        </w:tc>
        <w:tc>
          <w:p>
            <w:pPr>
              <w:pStyle w:val="4"/>
            </w:pPr>
          </w:p>
        </w:tc>
      </w:tr>
    </w:tbl>
    <w:p/>
    <w:sectPr>
      <w:pgSz w:w="11900" w:h="16840"/>
      <w:pgMar w:top="600" w:right="560" w:bottom="240" w:left="600" w:header="0" w:footer="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800"/>
  <w:compat>
    <w:useFELayout/>
    <w:splitPgBreakAndParaMark/>
    <w:compatSetting w:name="compatibilityMode" w:uri="http://schemas.microsoft.com/office/word" w:val="12"/>
  </w:compat>
  <w:rsids>
    <w:rsidRoot w:val="00000000"/>
    <w:rsid w:val="13225A10"/>
    <w:rsid w:val="135236E5"/>
    <w:rsid w:val="22CE2297"/>
    <w:rsid w:val="30A63469"/>
    <w:rsid w:val="4A7B5E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Office_11.8.2.10154_F1E327BC-269C-435d-A152-05C5408002CA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2022-10-21T07:24:00Z</dcterms:created>
  <dc:creator>User</dc:creator>
  <cp:lastModifiedBy>cib</cp:lastModifiedBy>
  <dcterms:modified xsi:type="dcterms:W3CDTF">2023-02-20T08:33:24Z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