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兴业银行天天万利宝稳利9号C款净值型理财产品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兴业银行天天万利宝稳利9号C款净值型理财产品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9,339,631,835.26份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5,281,057,765.97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3,751,516,244.05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307,057,825.24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产品9K20933A自成立日以来，累计净值增长率为3.4710%，年化累计净值增长率为4.0868%。</w:t>
            </w:r>
            <w:r>
              <w:rPr>
                <w:rFonts w:ascii="宋体" w:hAnsi="宋体" w:eastAsia="宋体" w:cs="宋体"/>
                <w:color w:val="000000"/>
                <w:sz w:val="21"/>
              </w:rPr>
              <w:br w:type="textWrapping"/>
            </w:r>
            <w:r>
              <w:rPr>
                <w:rFonts w:ascii="宋体" w:hAnsi="宋体" w:eastAsia="宋体" w:cs="宋体"/>
                <w:color w:val="000000"/>
                <w:sz w:val="21"/>
              </w:rPr>
              <w:t>产品9K20933B自成立日以来，累计净值增长率为3.5140%，年化累计净值增长率为4.1375%。</w:t>
            </w:r>
            <w:r>
              <w:rPr>
                <w:rFonts w:ascii="宋体" w:hAnsi="宋体" w:eastAsia="宋体" w:cs="宋体"/>
                <w:color w:val="000000"/>
                <w:sz w:val="21"/>
              </w:rPr>
              <w:br w:type="textWrapping"/>
            </w:r>
            <w:r>
              <w:rPr>
                <w:rFonts w:ascii="宋体" w:hAnsi="宋体" w:eastAsia="宋体" w:cs="宋体"/>
                <w:color w:val="000000"/>
                <w:sz w:val="21"/>
              </w:rPr>
              <w:t>产品9K20933C自成立日以来，累计净值增长率为0.0830%，年化累计净值增长率为0.8188%。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9,348,380,510.32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5,285,923,740.02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3,755,143,622.46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307,313,147.84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281,367,520.00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170,000,455.00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159,772,160.00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20东北C2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153,128,700.00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21徐工集团MTN001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152,511,150.00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110,000,365.00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18科投02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104,386,900.00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21国君G5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100,615,500.00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21湖州城投MTN003(乡村振兴)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21皖投集MTN001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21徐工集团MTN001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21珠海港股MTN002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21紫金矿业MTN001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22西安高新PPN001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bookmarkStart w:id="8" w:name="_GoBack"/>
            <w:bookmarkEnd w:id="8"/>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051010100101270550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3D6B"/>
    <w:rsid w:val="148A5471"/>
    <w:rsid w:val="2B5E7B63"/>
    <w:rsid w:val="33D25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2023-02-20T09:02:18Z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