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260"/>
        <w:gridCol w:w="1"/>
      </w:tblGrid>
      <w:tr>
        <w:tblPrEx>
          <w:tblCellMar>
            <w:top w:w="0" w:type="dxa"/>
            <w:left w:w="10" w:type="dxa"/>
            <w:bottom w:w="0" w:type="dxa"/>
            <w:right w:w="10" w:type="dxa"/>
          </w:tblCellMar>
        </w:tblPrEx>
        <w:trPr>
          <w:gridAfter w:val="5"/>
          <w:wAfter w:w="300" w:type="dxa"/>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兴银理财添利天天宝4号净值型理财产品2022年第三季度报告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兴银理财添利天天宝4号净值型理财产品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5"/>
          <w:wAfter w:w="300" w:type="dxa"/>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兴银理财添利天天宝4号净值型理财产品2022年第三季度报告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兴银理财添利天天宝4号净值型理财产品2022年第三季度报告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兴银理财添利天天宝4号净值型理财产品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9TTB0004</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Z7002022000005</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642,136,771.64份</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wAfter w:w="300" w:type="dxa"/>
          <w:trHeight w:val="29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兴银理财添利天天宝4号净值型理财产品2022年第三季度报告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5"/>
          <w:wAfter w:w="300" w:type="dxa"/>
          <w:trHeight w:val="5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报告期内，9TTB0004七日年化收益率均值2.4746%。同期业绩比较基准如下：</w:t>
            </w:r>
          </w:p>
        </w:tc>
        <w:tc>
          <w:p>
            <w:pPr>
              <w:pStyle w:val="4"/>
            </w:pPr>
          </w:p>
        </w:tc>
      </w:tr>
      <w:tr>
        <w:tblPrEx>
          <w:tblCellMar>
            <w:top w:w="0" w:type="dxa"/>
            <w:left w:w="10" w:type="dxa"/>
            <w:bottom w:w="0" w:type="dxa"/>
            <w:right w:w="10" w:type="dxa"/>
          </w:tblCellMar>
        </w:tblPrEx>
        <w:trPr>
          <w:gridAfter w:val="5"/>
          <w:wAfter w:w="300" w:type="dxa"/>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9TTB0004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2022-07-01至2022-09-30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0.7500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2.5930%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642,136,771.64</w:t>
            </w:r>
          </w:p>
        </w:tc>
        <w:tc>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5"/>
          <w:wAfter w:w="30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5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5"/>
          <w:wAfter w:w="300" w:type="dxa"/>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57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三季度经济和融资有边际改善，但扩张基础仍然不牢固，“三重压力”背景下，基建对基本面形成一定支撑，但疫情反复、地产扰动和出口压力形成拖累。货币政策强化跨周期和逆周期调节，加大稳健货币政策实施力度，政策性开发性金融工具发力支持基建，资金利率低位运行。市场在弱基本面+弱修复现实下，围绕资金面和增量政策下基本面修复展开定价。7月跨季后资金面超预期宽松叠加社融塌方，经济修复不及预期，债市整体震荡下行。8月上旬增量信息有限，10年期国债窄幅震荡，8月15日MLF降息点燃市场做多行情，10年期国债收益率下探至年内低点2.58%，后在宽预期、止盈情绪和外围压力下震荡回升。随后经济数据印证复苏逻辑，9月资金面收敛预期再起，MLF继续缩量、税期及季末节前季节性因素和外围扰动下货币政策面临内外均衡制约等因素推动利率上行，短端调整幅度大于长端，曲线略走平。</w:t>
            </w:r>
            <w:r>
              <w:rPr>
                <w:rFonts w:ascii="宋体" w:hAnsi="宋体" w:eastAsia="宋体" w:cs="宋体"/>
                <w:color w:val="000000"/>
                <w:sz w:val="21"/>
              </w:rPr>
              <w:br w:type="textWrapping"/>
            </w:r>
            <w:r>
              <w:rPr>
                <w:rFonts w:ascii="宋体" w:hAnsi="宋体" w:eastAsia="宋体" w:cs="宋体"/>
                <w:color w:val="000000"/>
                <w:sz w:val="21"/>
              </w:rPr>
              <w:t xml:space="preserve">    展望后市，四季度大概率仍将延续内需偏弱+外需下行的格局，稳增长接续政策的效果和持续性对需求端有所支撑，内需数据有望延续偏弱修复格局；但出口拐头向下趋势下外需承压。若无增量政策等超预期变量，基本面短期难言趋势性的改变。在此背景下，货币政策“以我为主”的基调明确，预计四季度央行仍然会延续宽松的货币政策，通过降成本推进宽信用，直至社融出现趋势性向好。市场方面，当前利率绝对和相对水平均处于历史低位，同时外围的压力也影响着利率波动区间下限；经济弱修复但底层矛盾未解，流动性充裕的局面下利率亦不具备大幅上行的条件，预计四季度债券市场整体以窄幅震荡为主。</w:t>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本产品始终将保持流动性安全和防范信用风险作为第一要务，在此基础上通过稳健的投资风格实现相对稳定的收益。报告期内，本产品按照《关于规范现金管理类理财产品管理有关事项的通知》的要求，平稳、合规运作，产</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28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兴银理财添利天天宝4号净值型理财产品2022年第三季度报告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392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品规模持续小幅增加。资产配置方面，根据我们对市场的预判，在三季度流动性宽松、短端收益率中枢进一步下探的格局下，合理控制新增资产久期，积极把握市场高点的买入机会，主要配置了同业存单、高等级信用债等品种，同时以隔夜正回购为主的杠杆策略为产品增厚收益。</w:t>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四季度，本产品仍然会坚持以安全性和流动性优先、兼顾收益性的稳健策略，综合考量各类资产的风险收益特征，根据市场情况灵活把握投资节奏。在即将到来的年末关键时点，提前布局产品流动性，保障产品运作安全。同时，我们会按照《关于规范现金管理类理财产品管理有关事项的通知》的相关要求，持续动态监控产品投资组合，保障产品合规、平稳地运作。</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3"/>
          <w:wAfter w:w="280" w:type="dxa"/>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30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280" w:type="dxa"/>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16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兴银理财添利天天宝4号净值型理财产品2022年第三季度报告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5"/>
          <w:wAfter w:w="300" w:type="dxa"/>
          <w:trHeight w:val="66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100,000,270.00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50,997,680.16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50,000,195.00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Z存放同业（线上）20220908004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建设银行深圳分行活期存款（约期）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16,670,000.00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20湘高速PPN003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15,096,314.14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20HG01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15,052,786.84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建融5优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18青城03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13,404,582.09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20江苏资产MTN001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11,796,886.46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14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5"/>
          <w:wAfter w:w="300" w:type="dxa"/>
          <w:trHeight w:val="4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22津城建SCP022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22陕有色SCP001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22一汽租赁CP002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5"/>
          <w:wAfter w:w="300" w:type="dxa"/>
          <w:trHeight w:val="10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兴银理财添利天天宝4号净值型理财产品2022年第三季度报告</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Z存放同业(线上)20220412006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Z存放同业(线上)20220425004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548.00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9TTB0004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兴业银行活期存款(上海)(约期)-2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051010100101332974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兴银理财添利天天宝4号净值型理财产品</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top"/>
          </w:tcPr>
          <w:p>
            <w:pPr>
              <w:jc w:val="right"/>
              <w:rPr>
                <w:rFonts w:ascii="宋体" w:hAnsi="宋体" w:eastAsia="宋体" w:cs="宋体"/>
                <w:color w:val="000000"/>
                <w:sz w:val="21"/>
              </w:rPr>
            </w:pPr>
            <w:r>
              <w:rPr>
                <w:rFonts w:ascii="宋体" w:hAnsi="宋体" w:eastAsia="宋体" w:cs="宋体"/>
                <w:color w:val="000000"/>
                <w:sz w:val="21"/>
              </w:rPr>
              <w:t>2022年10月26日</w:t>
            </w: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bookmarkStart w:id="7" w:name="_GoBack"/>
            <w:bookmarkEnd w:id="7"/>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5"/>
          </w:tcPr>
          <w:p>
            <w:pPr>
              <w:pStyle w:val="4"/>
            </w:pPr>
          </w:p>
        </w:tc>
        <w:tc>
          <w:tcPr>
            <w:gridSpan w:val="4"/>
          </w:tcPr>
          <w:p>
            <w:pPr>
              <w:pStyle w:val="4"/>
            </w:pPr>
          </w:p>
        </w:tc>
        <w:tc>
          <w:p>
            <w:pPr>
              <w:pStyle w:val="4"/>
            </w:pPr>
          </w:p>
        </w:tc>
        <w:tc>
          <w:p>
            <w:pPr>
              <w:pStyle w:val="4"/>
            </w:pPr>
          </w:p>
        </w:tc>
      </w:tr>
    </w:tbl>
    <w:p/>
    <w:sectPr>
      <w:pgSz w:w="11900" w:h="16840"/>
      <w:pgMar w:top="600" w:right="3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15892515"/>
    <w:rsid w:val="2A221266"/>
    <w:rsid w:val="752512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2022-10-21T08:33:00Z</dcterms:created>
  <dc:creator>User</dc:creator>
  <cp:lastModifiedBy>cib</cp:lastModifiedBy>
  <dcterms:modified xsi:type="dcterms:W3CDTF">2023-02-20T08:43:31Z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