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32" w:type="dxa"/>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219"/>
        <w:gridCol w:w="60"/>
        <w:gridCol w:w="1"/>
        <w:gridCol w:w="29"/>
        <w:gridCol w:w="1"/>
      </w:tblGrid>
      <w:tr>
        <w:tblPrEx>
          <w:tblCellMar>
            <w:top w:w="0" w:type="dxa"/>
            <w:left w:w="10" w:type="dxa"/>
            <w:bottom w:w="0" w:type="dxa"/>
            <w:right w:w="10" w:type="dxa"/>
          </w:tblCellMar>
        </w:tblPrEx>
        <w:trPr>
          <w:gridAfter w:val="7"/>
          <w:wAfter w:w="0" w:type="auto"/>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兴银理财添利天天宝5号净值型理财产品2022年第三季度报告</w:t>
            </w: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0" w:type="auto"/>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0" w:type="auto"/>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兴银理财添利天天宝5号净值型理财产品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7"/>
          <w:wAfter w:w="0" w:type="auto"/>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0" w:type="auto"/>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0" w:type="auto"/>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兴银理财添利天天宝5号净值型理财产品2022年第三季度报告</w:t>
            </w: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0" w:type="auto"/>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0" w:type="auto"/>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0" w:type="auto"/>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0" w:type="auto"/>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0" w:type="auto"/>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兴银理财添利天天宝5号净值型理财产品2022年第三季度报告</w:t>
            </w: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0" w:type="auto"/>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7"/>
          <w:wAfter w:w="0" w:type="auto"/>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7"/>
          <w:wAfter w:w="0" w:type="auto"/>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7"/>
          <w:wAfter w:w="0" w:type="auto"/>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兴银理财添利天天宝5号净值型理财产品</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9TTB0005</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Z7002022000006</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639,563,384.27份</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7"/>
          <w:wAfter w:w="0" w:type="auto"/>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7"/>
          <w:wAfter w:w="0" w:type="auto"/>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兴银理财添利天天宝5号净值型理财产品2022年第三季度报告</w:t>
            </w: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0" w:type="auto"/>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7"/>
          <w:wAfter w:w="0" w:type="auto"/>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报告期内，9TTB0005七日年化收益率均值2.4750%。同期业绩比较基准如下：</w:t>
            </w:r>
          </w:p>
        </w:tc>
        <w:tc>
          <w:p>
            <w:pPr>
              <w:pStyle w:val="4"/>
            </w:pPr>
          </w:p>
        </w:tc>
      </w:tr>
      <w:tr>
        <w:tblPrEx>
          <w:tblCellMar>
            <w:top w:w="0" w:type="dxa"/>
            <w:left w:w="10" w:type="dxa"/>
            <w:bottom w:w="0" w:type="dxa"/>
            <w:right w:w="10" w:type="dxa"/>
          </w:tblCellMar>
        </w:tblPrEx>
        <w:trPr>
          <w:gridAfter w:val="7"/>
          <w:wAfter w:w="0" w:type="auto"/>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0.7505</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2.5880%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639,563,384.27</w:t>
            </w:r>
          </w:p>
        </w:tc>
        <w:tc>
          <w:p>
            <w:pPr>
              <w:pStyle w:val="4"/>
            </w:pPr>
          </w:p>
        </w:tc>
        <w:tc>
          <w:p>
            <w:pPr>
              <w:pStyle w:val="4"/>
            </w:pPr>
          </w:p>
        </w:tc>
      </w:tr>
      <w:tr>
        <w:tblPrEx>
          <w:tblCellMar>
            <w:top w:w="0" w:type="dxa"/>
            <w:left w:w="10" w:type="dxa"/>
            <w:bottom w:w="0" w:type="dxa"/>
            <w:right w:w="10" w:type="dxa"/>
          </w:tblCellMar>
        </w:tblPrEx>
        <w:trPr>
          <w:gridAfter w:val="7"/>
          <w:wAfter w:w="0" w:type="auto"/>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7"/>
          <w:wAfter w:w="0" w:type="auto"/>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p>
            <w:pPr>
              <w:pStyle w:val="4"/>
            </w:pPr>
          </w:p>
        </w:tc>
      </w:tr>
      <w:tr>
        <w:tblPrEx>
          <w:tblCellMar>
            <w:top w:w="0" w:type="dxa"/>
            <w:left w:w="10" w:type="dxa"/>
            <w:bottom w:w="0" w:type="dxa"/>
            <w:right w:w="10" w:type="dxa"/>
          </w:tblCellMar>
        </w:tblPrEx>
        <w:trPr>
          <w:gridAfter w:val="7"/>
          <w:wAfter w:w="0" w:type="auto"/>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7"/>
          <w:wAfter w:w="0" w:type="auto"/>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7"/>
          <w:wAfter w:w="0" w:type="auto"/>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按照《关于规范现金管理类理财产品管理有关事项的通知》的要求，平稳、合规运作，产</w:t>
            </w: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0" w:type="auto"/>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兴银理财添利天天宝5号净值型理财产品2022年第三季度报告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39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规模持续小幅增加。资产配置方面，根据我们对市场的预判，在三季度流动性宽松、短端收益率中枢进一步下探的格局下，合理控制新增资产久期，积极把握市场高点的买入机会，主要配置了同业存单、高等级信用债等品种，同时以隔夜正回购为主的杠杆策略为产品增厚收益。</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5"/>
          <w:wAfter w:w="0" w:type="auto"/>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0" w:type="auto"/>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1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0" w:type="auto"/>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0" w:type="auto"/>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兴银理财添利天天宝5号净值型理财产品2022年第三季度报告</w:t>
            </w: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7"/>
          <w:wAfter w:w="0" w:type="auto"/>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50,997,680.16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Z存放同业（线上）20220908005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15,096,314.14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20HG01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15,052,786.84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建融5优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13,404,582.09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20江苏资产MTN001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11,696,059.48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0" w:type="auto"/>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7"/>
          <w:wAfter w:w="0" w:type="auto"/>
          <w:trHeight w:val="4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22陕有色SCP001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22一汽租赁CP002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0" w:type="auto"/>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7"/>
          <w:wAfter w:w="0" w:type="auto"/>
          <w:trHeight w:val="10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7"/>
          <w:wAfter w:w="0" w:type="auto"/>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兴银理财添利天天宝5号净值型理财产品2022年第三季度报告</w:t>
            </w: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Z存放同业(线上)20220425005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Z存放同业(线上)20220412007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tcW w:w="10900" w:type="dxa"/>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tcW w:w="10900" w:type="dxa"/>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051010100101333026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兴银理财添利天天宝5号净值型理财产品</w:t>
                        </w:r>
                      </w:p>
                    </w:tc>
                  </w:tr>
                </w:tbl>
                <w:p>
                  <w:pPr>
                    <w:pStyle w:val="4"/>
                  </w:pPr>
                </w:p>
              </w:tc>
            </w:tr>
          </w:tbl>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rPr>
                <w:rFonts w:ascii="宋体" w:hAnsi="宋体" w:eastAsia="宋体" w:cs="宋体"/>
                <w:color w:val="000000"/>
                <w:sz w:val="21"/>
              </w:rPr>
            </w:pPr>
            <w:r>
              <w:rPr>
                <w:rFonts w:ascii="宋体" w:hAnsi="宋体" w:eastAsia="宋体" w:cs="宋体"/>
                <w:color w:val="000000"/>
                <w:sz w:val="21"/>
              </w:rPr>
              <w:t>2022年10月26日</w:t>
            </w: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7" w:name="_GoBack"/>
            <w:bookmarkEnd w:id="7"/>
          </w:p>
        </w:tc>
        <w:tc>
          <w:tcPr>
            <w:tcW w:w="240" w:type="dxa"/>
            <w:gridSpan w:val="4"/>
          </w:tcPr>
          <w:p>
            <w:pPr>
              <w:pStyle w:val="4"/>
            </w:pPr>
          </w:p>
        </w:tc>
        <w:tc>
          <w:tcPr>
            <w:tcW w:w="90" w:type="dxa"/>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tcW w:w="240" w:type="dxa"/>
            <w:gridSpan w:val="4"/>
          </w:tcPr>
          <w:p>
            <w:pPr>
              <w:pStyle w:val="4"/>
            </w:pPr>
          </w:p>
        </w:tc>
        <w:tc>
          <w:tcPr>
            <w:tcW w:w="90" w:type="dxa"/>
            <w:gridSpan w:val="3"/>
          </w:tcPr>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31C7E6E"/>
    <w:rsid w:val="0A50587B"/>
    <w:rsid w:val="1A09381E"/>
    <w:rsid w:val="254837CE"/>
    <w:rsid w:val="37DF63E4"/>
    <w:rsid w:val="40E35FC6"/>
    <w:rsid w:val="68B821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2022-10-21T08:34:00Z</dcterms:created>
  <dc:creator>User</dc:creator>
  <cp:lastModifiedBy>cib</cp:lastModifiedBy>
  <dcterms:modified xsi:type="dcterms:W3CDTF">2023-02-20T08:43:09Z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