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8,667,563,606.26份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产品9C212001自成立日以来，累计净值增长率为10.4010%，年化累计净值增长率为3.6609%。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1.10401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1.10401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9,569,048,280.54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1,290,370,813.40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工商银行杭州分行定期存款20221024002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1,213,814,527.46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1,001,908,842.02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527,741,596.75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中国工商银行兰州分行大额存单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523,240,787.88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中国工商银行遵义分行大额存单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518,502,720.32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518,283,480.98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410,113,333.90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409,652,234.08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178,456,823.63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36,374,000.00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21南通产业MTN002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22山东海运SCP001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