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兴银理财金雪球稳利年年兴B款净值型理财产品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1,187,905,837.79份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3.30%--3.80%/3.80%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产品9C212120自成立日以来，累计净值增长率为5.4620%，年化累计净值增长率为3.7758%。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1.05462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1.05462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1,252,790,088.08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t xml:space="preserve">1、2023年二季度展望</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22杭州湾新MTN001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50,921,607.53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41,902,775.89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21武汉旅游MTN002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41,186,375.89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20财投01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40,466,428.49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31,527,070.69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21溧水经开MTN002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31,400,916.99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19军融01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30,657,480.41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30,619,010.14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30,580,648.77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19河钢02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30,536,799.04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22金川MTN001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23三亚旅投MTN001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051010100101231921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