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351,361,445.32份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产品9C212140自成立日以来，累计净值增长率为3.3310%，年化累计净值增长率为2.9727%。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1.03331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353,600,780.01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21,076,458.63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21武侯产业PPN001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20,702,230.41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20,587,489.04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15,281,123.22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10,592,480.96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21郴投集团PPN001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10,563,559.18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10,563,478.22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10,550,097.26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10,475,693.97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21宜春交投PPN001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10,449,247.26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