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trPr>
          <w:gridAfter w:val="3"/>
          <w:wAfter w:w="40" w:type="dxa"/>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兴银理财兴承恒享开放式1号净值型理财产品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tcPr>
            <w:tcW w:w="1" w:type="dxa"/>
          </w:tcPr>
          <w:p>
            <w:pPr>
              <w:pStyle w:val="4"/>
            </w:pPr>
          </w:p>
        </w:tc>
      </w:tr>
      <w:tr>
        <w:tblPrEx>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兴银理财兴承恒享开放式1号净值型理财产品</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9D210010</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Z7002021000092</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3,124,559,689.46份</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rPr>
              <w:t>--</w:t>
            </w:r>
            <w:r>
              <w:rPr>
                <w:rFonts w:ascii="宋体" w:hAnsi="宋体" w:eastAsia="宋体" w:cs="宋体"/>
                <w:color w:val="000000"/>
                <w:sz w:val="21"/>
              </w:rPr>
              <w:t>/--</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3"/>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兴银兴承恒享1号开放式A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1,488,258,753.52</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兴银兴承恒享1号开放式B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1,636,300,935.94</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产品9D21001A自成立日以来，累计净值增长率为-2.1350%，年化累计净值增长率为-1.1310%。</w:t>
            </w:r>
            <w:r>
              <w:rPr>
                <w:rFonts w:ascii="宋体" w:hAnsi="宋体" w:eastAsia="宋体" w:cs="宋体"/>
                <w:color w:val="000000"/>
                <w:sz w:val="21"/>
              </w:rPr>
              <w:br w:type="textWrapping"/>
            </w:r>
            <w:r>
              <w:rPr>
                <w:rFonts w:ascii="宋体" w:hAnsi="宋体" w:eastAsia="宋体" w:cs="宋体"/>
                <w:color w:val="000000"/>
                <w:sz w:val="21"/>
              </w:rPr>
              <w:t>产品9D21001B自成立日以来，累计净值增长率为-1.7730%，年化累计净值增长率为-0.9393%。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0.98055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0.98055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3,063,777,019.13</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0.97865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0.97865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1,456,490,854.39</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0.98227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0.98227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1,607,286,164.74</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58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358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目前国内呈现弱复苏状态，经济预期不能过分乐观，但近期国常会强调当前经济恢复正处于关键期，会进一步稳定市场预期，提振发展信心，巩固拓展向好势头，推动经济运行持续整体好转。政策对于经济增长的重视逐渐明确，经济恢复也不会特别差，预计仍处于结构转型的高质量发展过程。后续关注4月份即将召开的政治局会议、国内进一步经济修复的情况、政策落实情况等。</w:t>
            </w:r>
            <w:r>
              <w:rPr>
                <w:rFonts w:ascii="宋体" w:hAnsi="宋体" w:eastAsia="宋体" w:cs="宋体"/>
                <w:color w:val="000000"/>
                <w:sz w:val="21"/>
              </w:rPr>
              <w:br w:type="textWrapping"/>
            </w:r>
            <w:r>
              <w:rPr>
                <w:rFonts w:ascii="宋体" w:hAnsi="宋体" w:eastAsia="宋体" w:cs="宋体"/>
                <w:color w:val="000000"/>
                <w:sz w:val="21"/>
              </w:rPr>
              <w:t xml:space="preserve">    行业方面，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r>
              <w:rPr>
                <w:rFonts w:ascii="宋体" w:hAnsi="宋体" w:eastAsia="宋体" w:cs="宋体"/>
                <w:color w:val="000000"/>
                <w:sz w:val="21"/>
              </w:rPr>
              <w:br w:type="textWrapping"/>
            </w:r>
            <w:r>
              <w:rPr>
                <w:rFonts w:ascii="宋体" w:hAnsi="宋体" w:eastAsia="宋体" w:cs="宋体"/>
                <w:color w:val="000000"/>
                <w:sz w:val="21"/>
              </w:rPr>
              <w:t xml:space="preserve">    当前组合仓位在中枢附近，结构维持相对均衡，兼顾港股、医药消费、价值周期、高端制造以及科技成长类资产。面对多变的市场环境，需要结合估值情况与景气变化适时做部分高低切换。</w:t>
            </w:r>
            <w:r>
              <w:rPr>
                <w:rFonts w:ascii="宋体" w:hAnsi="宋体" w:eastAsia="宋体" w:cs="宋体"/>
                <w:color w:val="000000"/>
                <w:sz w:val="21"/>
              </w:rPr>
              <w:br w:type="textWrapping"/>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8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8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48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16.09</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31.15</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4.97</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37.79</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18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23临港控股SCP003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180,058,762.62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121,495,742.95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8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104,750,604.11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21财信02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104,478,989.04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22浦发银行CD135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99,152,825.48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23交通银行CD093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98,993,921.74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22中国银行CD036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98,938,364.38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23交通银行CD046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98,548,390.11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23招商银行CD004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98,542,490.11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80,098,698.65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21南航集MTN001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22南航股MTN001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23临港控股SCP003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0700"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685" w:type="dxa"/>
                    <w:tblInd w:w="0" w:type="dxa"/>
                    <w:tblLayout w:type="fixed"/>
                    <w:tblCellMar>
                      <w:top w:w="0" w:type="dxa"/>
                      <w:left w:w="10" w:type="dxa"/>
                      <w:bottom w:w="0" w:type="dxa"/>
                      <w:right w:w="10" w:type="dxa"/>
                    </w:tblCellMar>
                  </w:tblPr>
                  <w:tblGrid>
                    <w:gridCol w:w="10685"/>
                  </w:tblGrid>
                  <w:tr>
                    <w:tblPrEx>
                      <w:tblCellMar>
                        <w:top w:w="0" w:type="dxa"/>
                        <w:left w:w="10" w:type="dxa"/>
                        <w:bottom w:w="0" w:type="dxa"/>
                        <w:right w:w="10" w:type="dxa"/>
                      </w:tblCellMar>
                    </w:tblPrEx>
                    <w:trPr>
                      <w:trHeight w:val="600" w:hRule="atLeast"/>
                    </w:trPr>
                    <w:tc>
                      <w:tcPr>
                        <w:tcW w:w="10685"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无</w:t>
                        </w:r>
                        <w:bookmarkStart w:id="7" w:name="_GoBack"/>
                        <w:bookmarkEnd w:id="7"/>
                      </w:p>
                    </w:tc>
                  </w:tr>
                </w:tbl>
                <w:p>
                  <w:pPr>
                    <w:pStyle w:val="4"/>
                  </w:pPr>
                </w:p>
              </w:tc>
            </w:tr>
          </w:tbl>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兴银理财兴承恒享开放式1号净值型理财产品2023年第一季度报告</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051010100101198641</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2023年4月23日</w:t>
            </w: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717FD6"/>
    <w:rsid w:val="002B555E"/>
    <w:rsid w:val="00717FD6"/>
    <w:rsid w:val="00B611CE"/>
    <w:rsid w:val="012B6BD0"/>
    <w:rsid w:val="030D3DA7"/>
    <w:rsid w:val="0A6F6976"/>
    <w:rsid w:val="1B376E63"/>
    <w:rsid w:val="227A05F1"/>
    <w:rsid w:val="25024899"/>
    <w:rsid w:val="3BF85731"/>
    <w:rsid w:val="42BE2014"/>
    <w:rsid w:val="5B431DD9"/>
    <w:rsid w:val="71565D6B"/>
    <w:rsid w:val="7EF0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EMPTY_CELL_STYLE"/>
    <w:qFormat/>
    <w:uiPriority w:val="0"/>
    <w:rPr>
      <w:rFonts w:ascii="SansSerif" w:hAnsi="SansSerif" w:eastAsia="SansSerif" w:cs="SansSerif"/>
      <w:color w:val="000000"/>
      <w:sz w:val="1"/>
      <w:lang w:val="en-US" w:eastAsia="zh-CN" w:bidi="ar-SA"/>
    </w:rPr>
  </w:style>
  <w:style w:type="paragraph" w:customStyle="1" w:styleId="5">
    <w:name w:val="Table_TH"/>
    <w:qFormat/>
    <w:uiPriority w:val="0"/>
    <w:rPr>
      <w:rFonts w:ascii="SansSerif" w:hAnsi="SansSerif" w:eastAsia="SansSerif" w:cs="SansSerif"/>
      <w:color w:val="000000"/>
      <w:lang w:val="en-US" w:eastAsia="zh-CN" w:bidi="ar-SA"/>
    </w:rPr>
  </w:style>
  <w:style w:type="paragraph" w:customStyle="1" w:styleId="6">
    <w:name w:val="Table_CH"/>
    <w:qFormat/>
    <w:uiPriority w:val="0"/>
    <w:rPr>
      <w:rFonts w:ascii="SansSerif" w:hAnsi="SansSerif" w:eastAsia="SansSerif" w:cs="SansSerif"/>
      <w:color w:val="000000"/>
      <w:lang w:val="en-US" w:eastAsia="zh-CN" w:bidi="ar-SA"/>
    </w:rPr>
  </w:style>
  <w:style w:type="paragraph" w:customStyle="1" w:styleId="7">
    <w:name w:val="Table_TD"/>
    <w:qFormat/>
    <w:uiPriority w:val="0"/>
    <w:rPr>
      <w:rFonts w:ascii="SansSerif" w:hAnsi="SansSerif" w:eastAsia="SansSerif" w:cs="SansSerif"/>
      <w:color w:val="000000"/>
      <w:lang w:val="en-US" w:eastAsia="zh-CN" w:bidi="ar-SA"/>
    </w:rPr>
  </w:style>
  <w:style w:type="paragraph" w:customStyle="1" w:styleId="8">
    <w:name w:val="Table_CD"/>
    <w:qFormat/>
    <w:uiPriority w:val="0"/>
    <w:rPr>
      <w:rFonts w:ascii="SansSerif" w:hAnsi="SansSerif" w:eastAsia="SansSerif" w:cs="SansSerif"/>
      <w:color w:val="000000"/>
      <w:lang w:val="en-US" w:eastAsia="zh-CN" w:bidi="ar-SA"/>
    </w:rPr>
  </w:style>
  <w:style w:type="paragraph" w:customStyle="1" w:styleId="9">
    <w:name w:val="Table 3_TH"/>
    <w:qFormat/>
    <w:uiPriority w:val="0"/>
    <w:rPr>
      <w:rFonts w:ascii="SansSerif" w:hAnsi="SansSerif" w:eastAsia="SansSerif" w:cs="SansSerif"/>
      <w:color w:val="000000"/>
      <w:lang w:val="en-US" w:eastAsia="zh-CN" w:bidi="ar-SA"/>
    </w:rPr>
  </w:style>
  <w:style w:type="paragraph" w:customStyle="1" w:styleId="10">
    <w:name w:val="Table 3_CH"/>
    <w:qFormat/>
    <w:uiPriority w:val="0"/>
    <w:rPr>
      <w:rFonts w:ascii="SansSerif" w:hAnsi="SansSerif" w:eastAsia="SansSerif" w:cs="SansSerif"/>
      <w:color w:val="000000"/>
      <w:lang w:val="en-US" w:eastAsia="zh-CN" w:bidi="ar-SA"/>
    </w:rPr>
  </w:style>
  <w:style w:type="paragraph" w:customStyle="1" w:styleId="11">
    <w:name w:val="Table 3_TD"/>
    <w:qFormat/>
    <w:uiPriority w:val="0"/>
    <w:rPr>
      <w:rFonts w:ascii="SansSerif" w:hAnsi="SansSerif" w:eastAsia="SansSerif" w:cs="SansSerif"/>
      <w:color w:val="000000"/>
      <w:lang w:val="en-US" w:eastAsia="zh-CN" w:bidi="ar-SA"/>
    </w:rPr>
  </w:style>
  <w:style w:type="paragraph" w:customStyle="1" w:styleId="12">
    <w:name w:val="Table 4_TH"/>
    <w:qFormat/>
    <w:uiPriority w:val="0"/>
    <w:rPr>
      <w:rFonts w:ascii="SansSerif" w:hAnsi="SansSerif" w:eastAsia="SansSerif" w:cs="SansSerif"/>
      <w:color w:val="000000"/>
      <w:lang w:val="en-US" w:eastAsia="zh-CN" w:bidi="ar-SA"/>
    </w:rPr>
  </w:style>
  <w:style w:type="paragraph" w:customStyle="1" w:styleId="13">
    <w:name w:val="Table 4_CH"/>
    <w:qFormat/>
    <w:uiPriority w:val="0"/>
    <w:rPr>
      <w:rFonts w:ascii="SansSerif" w:hAnsi="SansSerif" w:eastAsia="SansSerif" w:cs="SansSerif"/>
      <w:color w:val="000000"/>
      <w:lang w:val="en-US" w:eastAsia="zh-CN" w:bidi="ar-SA"/>
    </w:rPr>
  </w:style>
  <w:style w:type="paragraph" w:customStyle="1" w:styleId="14">
    <w:name w:val="Table 4_TD"/>
    <w:qFormat/>
    <w:uiPriority w:val="0"/>
    <w:rPr>
      <w:rFonts w:ascii="SansSerif" w:hAnsi="SansSerif" w:eastAsia="SansSerif" w:cs="SansSerif"/>
      <w:color w:val="000000"/>
      <w:lang w:val="en-US" w:eastAsia="zh-CN" w:bidi="ar-SA"/>
    </w:rPr>
  </w:style>
  <w:style w:type="paragraph" w:customStyle="1" w:styleId="15">
    <w:name w:val="Table 1_TH"/>
    <w:qFormat/>
    <w:uiPriority w:val="0"/>
    <w:rPr>
      <w:rFonts w:ascii="SansSerif" w:hAnsi="SansSerif" w:eastAsia="SansSerif" w:cs="SansSerif"/>
      <w:color w:val="000000"/>
      <w:lang w:val="en-US" w:eastAsia="zh-CN" w:bidi="ar-SA"/>
    </w:rPr>
  </w:style>
  <w:style w:type="paragraph" w:customStyle="1" w:styleId="16">
    <w:name w:val="Table 1_CH"/>
    <w:qFormat/>
    <w:uiPriority w:val="0"/>
    <w:rPr>
      <w:rFonts w:ascii="SansSerif" w:hAnsi="SansSerif" w:eastAsia="SansSerif" w:cs="SansSerif"/>
      <w:color w:val="000000"/>
      <w:lang w:val="en-US" w:eastAsia="zh-CN" w:bidi="ar-SA"/>
    </w:rPr>
  </w:style>
  <w:style w:type="paragraph" w:customStyle="1" w:styleId="17">
    <w:name w:val="Table 1_TD"/>
    <w:qFormat/>
    <w:uiPriority w:val="0"/>
    <w:rPr>
      <w:rFonts w:ascii="SansSerif" w:hAnsi="SansSerif" w:eastAsia="SansSerif" w:cs="SansSerif"/>
      <w:color w:val="000000"/>
      <w:lang w:val="en-US" w:eastAsia="zh-CN" w:bidi="ar-SA"/>
    </w:rPr>
  </w:style>
  <w:style w:type="paragraph" w:customStyle="1" w:styleId="18">
    <w:name w:val="Table 2_TH"/>
    <w:qFormat/>
    <w:uiPriority w:val="0"/>
    <w:rPr>
      <w:rFonts w:ascii="SansSerif" w:hAnsi="SansSerif" w:eastAsia="SansSerif" w:cs="SansSerif"/>
      <w:color w:val="000000"/>
      <w:lang w:val="en-US" w:eastAsia="zh-CN" w:bidi="ar-SA"/>
    </w:rPr>
  </w:style>
  <w:style w:type="paragraph" w:customStyle="1" w:styleId="19">
    <w:name w:val="Table 2_CH"/>
    <w:qFormat/>
    <w:uiPriority w:val="0"/>
    <w:rPr>
      <w:rFonts w:ascii="SansSerif" w:hAnsi="SansSerif" w:eastAsia="SansSerif" w:cs="SansSerif"/>
      <w:color w:val="000000"/>
      <w:lang w:val="en-US" w:eastAsia="zh-CN" w:bidi="ar-SA"/>
    </w:rPr>
  </w:style>
  <w:style w:type="paragraph" w:customStyle="1" w:styleId="20">
    <w:name w:val="Table 2_TD"/>
    <w:qFormat/>
    <w:uiPriority w:val="0"/>
    <w:rPr>
      <w:rFonts w:ascii="SansSerif" w:hAnsi="SansSerif" w:eastAsia="SansSerif" w:cs="SansSerif"/>
      <w:color w:val="000000"/>
      <w:lang w:val="en-US" w:eastAsia="zh-CN" w:bidi="ar-SA"/>
    </w:rPr>
  </w:style>
  <w:style w:type="paragraph" w:customStyle="1" w:styleId="21">
    <w:name w:val="Table 5_TH"/>
    <w:qFormat/>
    <w:uiPriority w:val="0"/>
    <w:rPr>
      <w:rFonts w:ascii="SansSerif" w:hAnsi="SansSerif" w:eastAsia="SansSerif" w:cs="SansSerif"/>
      <w:color w:val="000000"/>
      <w:lang w:val="en-US" w:eastAsia="zh-CN" w:bidi="ar-SA"/>
    </w:rPr>
  </w:style>
  <w:style w:type="paragraph" w:customStyle="1" w:styleId="22">
    <w:name w:val="Table 5_CH"/>
    <w:qFormat/>
    <w:uiPriority w:val="0"/>
    <w:rPr>
      <w:rFonts w:ascii="SansSerif" w:hAnsi="SansSerif" w:eastAsia="SansSerif" w:cs="SansSerif"/>
      <w:color w:val="000000"/>
      <w:lang w:val="en-US" w:eastAsia="zh-CN" w:bidi="ar-SA"/>
    </w:rPr>
  </w:style>
  <w:style w:type="paragraph" w:customStyle="1" w:styleId="23">
    <w:name w:val="Table 5_TD"/>
    <w:qFormat/>
    <w:uiPriority w:val="0"/>
    <w:rPr>
      <w:rFonts w:ascii="SansSerif" w:hAnsi="SansSerif" w:eastAsia="SansSerif" w:cs="SansSerif"/>
      <w:color w:val="000000"/>
      <w:lang w:val="en-US" w:eastAsia="zh-CN" w:bidi="ar-SA"/>
    </w:rPr>
  </w:style>
  <w:style w:type="paragraph" w:customStyle="1" w:styleId="24">
    <w:name w:val="Table 6_TH"/>
    <w:qFormat/>
    <w:uiPriority w:val="0"/>
    <w:rPr>
      <w:rFonts w:ascii="SansSerif" w:hAnsi="SansSerif" w:eastAsia="SansSerif" w:cs="SansSerif"/>
      <w:color w:val="000000"/>
      <w:lang w:val="en-US" w:eastAsia="zh-CN" w:bidi="ar-SA"/>
    </w:rPr>
  </w:style>
  <w:style w:type="paragraph" w:customStyle="1" w:styleId="25">
    <w:name w:val="Table 6_CH"/>
    <w:qFormat/>
    <w:uiPriority w:val="0"/>
    <w:rPr>
      <w:rFonts w:ascii="SansSerif" w:hAnsi="SansSerif" w:eastAsia="SansSerif" w:cs="SansSerif"/>
      <w:color w:val="000000"/>
      <w:lang w:val="en-US" w:eastAsia="zh-CN" w:bidi="ar-SA"/>
    </w:rPr>
  </w:style>
  <w:style w:type="paragraph" w:customStyle="1" w:styleId="26">
    <w:name w:val="Table 6_TD"/>
    <w:qFormat/>
    <w:uiPriority w:val="0"/>
    <w:rPr>
      <w:rFonts w:ascii="SansSerif" w:hAnsi="SansSerif" w:eastAsia="SansSerif" w:cs="SansSerif"/>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686</Words>
  <Characters>3913</Characters>
  <Lines>32</Lines>
  <Paragraphs>9</Paragraphs>
  <TotalTime>3</TotalTime>
  <ScaleCrop>false</ScaleCrop>
  <LinksUpToDate>false</LinksUpToDate>
  <CharactersWithSpaces>4590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2023-04-19T06:42:00Z</dcterms:created>
  <dc:creator>User</dc:creator>
  <cp:lastModifiedBy>cib</cp:lastModifiedBy>
  <dcterms:modified xsi:type="dcterms:W3CDTF">2023-04-21T02:42:49Z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