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500,915,464.6份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新盈1号A（兴飞跃私行专属款）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500,915,464.60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产品9D31001A自成立日以来，累计净值增长率为4.8380%，年化累计净值增长率为3.3508%。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504,390,630.02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504,390,630.02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1.1年，杠杆120%。一季度产品运行较为稳健，目前随着债券价格的反弹，产品收益也逐步稳定。同时，产品中加入少量股债风险平价和转债策略，截止3月底也取得了预期内的收益。展望后市，目前市场仍然处于复苏的初期。利率大概率在一季度数据公布后下行明显，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20,404,180.82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20,124,352.05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22浙商集团ABN001优先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18,009,223.40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21灵山GN001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17,689,587.77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16,789,677.17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盐城资04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16,252,590.47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14,121,535.01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10,754,770.27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10,629,641.37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10,552,236.03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22张家城投SCP005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