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207,052,694.25份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新盈私享2号（兴飞跃款）A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207,052,694.25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产品9D31002A自成立日以来，累计净值增长率为4.5050%，年化累计净值增长率为3.4328%。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209,908,849.84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209,908,849.84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一季度产品运行较为稳健，目前随着债券价格的反弹，产品收益也逐步稳定。同时，产品中加入少量股债风险平价和转债策略，截止3月底也取得了预期内的收益。展望后市，目前市场仍然处于复苏的初期。利率大概率在一季度数据公布后下行明显，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34,349,186.70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14,541,778.07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11,661,433.01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10,872,089.08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10,355,924.52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10,321,080.55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20徐金开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10,270,806.30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10,215,797.40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22太仓水务SCP007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8,089,811.73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22鲲鹏资本MTN001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7,993,406.58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23华光环保SCP004(转型碳资产)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