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兴银理财添利新私享净值型理财产品 </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兴银理财添利新私享净值型理财产品 </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19,222,262,203.32份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报告期内，9B310006七日年化收益率均值2.4481%。同期业绩比较基准如下：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0.6285</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2.4210%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19,222,262,203.32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4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同时维持中性偏短杠杆水平增厚组合收益。</w:t>
              <w:br/>
              <w:br/>
              <w:t xml:space="preserve">三 后期投资策略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1,008,599,999.68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807,377,778.25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755,990,727.04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工行东莞定期存款20230227005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651,733,630.25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Z存放同业（线上）20221014007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504,882,222.41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504,725,000.54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Z存放同业（线上）20221024005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504,681,665.96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Z存放同业（线上）20221121007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504,585,000.00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Z存放同业（线上）20230106008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503,034,027.40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502,911,111.20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18北控集MTN002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21发展01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22上实SCP004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051010100101076812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 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