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0" w:type="auto"/>
        <w:tblInd w:w="0" w:type="dxa"/>
        <w:tblLayout w:type="fixed"/>
        <w:tblCellMar>
          <w:top w:w="0" w:type="dxa"/>
          <w:left w:w="10" w:type="dxa"/>
          <w:bottom w:w="0" w:type="dxa"/>
          <w:right w:w="10" w:type="dxa"/>
        </w:tblCellMar>
      </w:tblPr>
      <w:tblGrid>
        <w:gridCol w:w="1"/>
        <w:gridCol w:w="20"/>
        <w:gridCol w:w="20"/>
        <w:gridCol w:w="60"/>
        <w:gridCol w:w="100"/>
        <w:gridCol w:w="2820"/>
        <w:gridCol w:w="380"/>
        <w:gridCol w:w="740"/>
        <w:gridCol w:w="260"/>
        <w:gridCol w:w="1000"/>
        <w:gridCol w:w="1000"/>
        <w:gridCol w:w="1000"/>
        <w:gridCol w:w="2620"/>
        <w:gridCol w:w="220"/>
        <w:gridCol w:w="260"/>
        <w:gridCol w:w="200"/>
        <w:gridCol w:w="1"/>
        <w:gridCol w:w="19"/>
        <w:gridCol w:w="1"/>
        <w:gridCol w:w="19"/>
        <w:gridCol w:w="1"/>
      </w:tblGrid>
      <w:tr>
        <w:tblPrEx>
          <w:tblCellMar>
            <w:top w:w="0" w:type="dxa"/>
            <w:left w:w="10" w:type="dxa"/>
            <w:bottom w:w="0" w:type="dxa"/>
            <w:right w:w="10" w:type="dxa"/>
          </w:tblCellMar>
        </w:tblPrEx>
        <w:trPr>
          <w:gridAfter w:val="4"/>
          <w:trHeight w:val="0" w:hRule="atLeast"/>
        </w:trPr>
        <w:tc>
          <w:p>
            <w:pPr>
              <w:pStyle w:val="4"/>
            </w:pPr>
            <w:bookmarkStart w:id="0" w:name="JR_PAGE_ANCHOR_0_1"/>
            <w:bookmarkEnd w:id="0"/>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兴银理财悦动2号ESG净值型理财产品2023年第一季度报告</w:t>
            </w: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trHeight w:val="96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3020" w:hRule="atLeast"/>
        </w:trPr>
        <w:tc>
          <w:p>
            <w:pPr>
              <w:pStyle w:val="4"/>
            </w:pPr>
          </w:p>
        </w:tc>
        <w:tc>
          <w:tcPr>
            <w:gridSpan w:val="15"/>
            <w:tcMar>
              <w:top w:w="0" w:type="dxa"/>
              <w:left w:w="0" w:type="dxa"/>
              <w:bottom w:w="0" w:type="dxa"/>
              <w:right w:w="0" w:type="dxa"/>
            </w:tcMar>
            <w:vAlign w:val="center"/>
          </w:tcPr>
          <w:p>
            <w:pPr>
              <w:spacing w:before="0" w:after="0" w:line="360" w:lineRule="auto"/>
              <w:jc w:val="center"/>
            </w:pPr>
            <w:r>
              <w:rPr>
                <w:rFonts w:ascii="宋体" w:hAnsi="宋体" w:eastAsia="宋体" w:cs="宋体"/>
                <w:b/>
                <w:color w:val="000000"/>
                <w:sz w:val="32"/>
              </w:rPr>
              <w:t>兴银理财悦动2号ESG净值型理财产品</w:t>
            </w:r>
            <w:r>
              <w:rPr>
                <w:rFonts w:ascii="宋体" w:hAnsi="宋体" w:eastAsia="宋体" w:cs="宋体"/>
                <w:b/>
                <w:color w:val="000000"/>
                <w:sz w:val="32"/>
              </w:rPr>
              <w:br w:type="textWrapping"/>
            </w:r>
            <w:r>
              <w:rPr>
                <w:rFonts w:ascii="宋体" w:hAnsi="宋体" w:eastAsia="宋体" w:cs="宋体"/>
                <w:b/>
                <w:color w:val="000000"/>
                <w:sz w:val="32"/>
              </w:rPr>
              <w:t>2023年第一季度报告</w:t>
            </w:r>
          </w:p>
        </w:tc>
        <w:tc>
          <w:p>
            <w:pPr>
              <w:pStyle w:val="4"/>
            </w:pPr>
          </w:p>
        </w:tc>
      </w:tr>
      <w:tr>
        <w:tblPrEx>
          <w:tblCellMar>
            <w:top w:w="0" w:type="dxa"/>
            <w:left w:w="10" w:type="dxa"/>
            <w:bottom w:w="0" w:type="dxa"/>
            <w:right w:w="10" w:type="dxa"/>
          </w:tblCellMar>
        </w:tblPrEx>
        <w:trPr>
          <w:gridAfter w:val="4"/>
          <w:trHeight w:val="660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理财产品管理人：兴银理财有限责任公司</w:t>
            </w: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理财产品托管人：兴业银行股份有限公司</w:t>
            </w: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报告送出日期：2023年4月23日</w:t>
            </w: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272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5"/>
          </w:tcPr>
          <w:p>
            <w:pPr>
              <w:pStyle w:val="4"/>
            </w:pPr>
          </w:p>
        </w:tc>
        <w:tc>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1/</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0" w:hRule="atLeast"/>
        </w:trPr>
        <w:tc>
          <w:p>
            <w:pPr>
              <w:pStyle w:val="4"/>
              <w:pageBreakBefore/>
            </w:pPr>
            <w:bookmarkStart w:id="1" w:name="JR_PAGE_ANCHOR_0_2"/>
            <w:bookmarkEnd w:id="1"/>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兴银理财悦动2号ESG净值型理财产品2023年第一季度报告</w:t>
            </w: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trHeight w:val="84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600" w:hRule="atLeast"/>
        </w:trPr>
        <w:tc>
          <w:p>
            <w:pPr>
              <w:pStyle w:val="4"/>
            </w:pPr>
          </w:p>
        </w:tc>
        <w:tc>
          <w:tcPr>
            <w:gridSpan w:val="3"/>
          </w:tcPr>
          <w:p>
            <w:pPr>
              <w:pStyle w:val="4"/>
            </w:pPr>
          </w:p>
        </w:tc>
        <w:tc>
          <w:tcPr>
            <w:gridSpan w:val="3"/>
          </w:tcPr>
          <w:p>
            <w:pPr>
              <w:pStyle w:val="4"/>
            </w:pPr>
          </w:p>
        </w:tc>
        <w:tc>
          <w:tcPr>
            <w:gridSpan w:val="2"/>
          </w:tcPr>
          <w:p>
            <w:pPr>
              <w:pStyle w:val="4"/>
            </w:pPr>
          </w:p>
        </w:tc>
        <w:tc>
          <w:tcPr>
            <w:gridSpan w:val="2"/>
            <w:tcMar>
              <w:top w:w="0" w:type="dxa"/>
              <w:left w:w="0" w:type="dxa"/>
              <w:bottom w:w="0" w:type="dxa"/>
              <w:right w:w="0" w:type="dxa"/>
            </w:tcMar>
            <w:vAlign w:val="top"/>
          </w:tcPr>
          <w:p>
            <w:pPr>
              <w:jc w:val="center"/>
            </w:pPr>
            <w:r>
              <w:rPr>
                <w:rFonts w:ascii="宋体" w:hAnsi="宋体" w:eastAsia="宋体" w:cs="宋体"/>
                <w:b/>
                <w:color w:val="000000"/>
                <w:sz w:val="30"/>
              </w:rPr>
              <w:t>目  录</w:t>
            </w: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44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6840" w:hRule="atLeast"/>
        </w:trPr>
        <w:tc>
          <w:p>
            <w:pPr>
              <w:pStyle w:val="4"/>
            </w:pPr>
          </w:p>
        </w:tc>
        <w:tc>
          <w:tcPr>
            <w:gridSpan w:val="3"/>
          </w:tcPr>
          <w:p>
            <w:pPr>
              <w:pStyle w:val="4"/>
            </w:pPr>
          </w:p>
        </w:tc>
        <w:tc>
          <w:tcPr>
            <w:gridSpan w:val="11"/>
            <w:tcMar>
              <w:top w:w="0" w:type="dxa"/>
              <w:left w:w="0" w:type="dxa"/>
              <w:bottom w:w="0" w:type="dxa"/>
              <w:right w:w="0" w:type="dxa"/>
            </w:tcMar>
            <w:vAlign w:val="top"/>
          </w:tcPr>
          <w:p>
            <w:pPr>
              <w:spacing w:before="0" w:after="0" w:line="336" w:lineRule="auto"/>
              <w:jc w:val="left"/>
            </w:pPr>
            <w:r>
              <w:rPr>
                <w:rFonts w:ascii="宋体" w:hAnsi="宋体" w:eastAsia="宋体" w:cs="宋体"/>
                <w:color w:val="000000"/>
                <w:sz w:val="21"/>
              </w:rPr>
              <w:t>§ 一. 重要提示</w:t>
            </w:r>
            <w:r>
              <w:rPr>
                <w:rFonts w:ascii="宋体" w:hAnsi="宋体" w:eastAsia="宋体" w:cs="宋体"/>
                <w:color w:val="000000"/>
                <w:sz w:val="21"/>
              </w:rPr>
              <w:br w:type="textWrapping"/>
            </w:r>
            <w:r>
              <w:rPr>
                <w:rFonts w:ascii="宋体" w:hAnsi="宋体" w:eastAsia="宋体" w:cs="宋体"/>
                <w:color w:val="000000"/>
                <w:sz w:val="21"/>
              </w:rPr>
              <w:t>§ 二. 产品基本信息</w:t>
            </w:r>
            <w:r>
              <w:rPr>
                <w:rFonts w:ascii="宋体" w:hAnsi="宋体" w:eastAsia="宋体" w:cs="宋体"/>
                <w:color w:val="000000"/>
                <w:sz w:val="21"/>
              </w:rPr>
              <w:br w:type="textWrapping"/>
            </w:r>
            <w:r>
              <w:rPr>
                <w:rFonts w:ascii="宋体" w:hAnsi="宋体" w:eastAsia="宋体" w:cs="宋体"/>
                <w:color w:val="000000"/>
                <w:sz w:val="21"/>
              </w:rPr>
              <w:t>§ 三. 产品收益表现</w:t>
            </w:r>
            <w:r>
              <w:rPr>
                <w:rFonts w:ascii="宋体" w:hAnsi="宋体" w:eastAsia="宋体" w:cs="宋体"/>
                <w:color w:val="000000"/>
                <w:sz w:val="21"/>
              </w:rPr>
              <w:br w:type="textWrapping"/>
            </w:r>
            <w:r>
              <w:rPr>
                <w:rFonts w:ascii="宋体" w:hAnsi="宋体" w:eastAsia="宋体" w:cs="宋体"/>
                <w:color w:val="000000"/>
                <w:sz w:val="21"/>
              </w:rPr>
              <w:t>§ 四. 产品投资经理简介</w:t>
            </w:r>
            <w:r>
              <w:rPr>
                <w:rFonts w:ascii="宋体" w:hAnsi="宋体" w:eastAsia="宋体" w:cs="宋体"/>
                <w:color w:val="000000"/>
                <w:sz w:val="21"/>
              </w:rPr>
              <w:br w:type="textWrapping"/>
            </w:r>
            <w:r>
              <w:rPr>
                <w:rFonts w:ascii="宋体" w:hAnsi="宋体" w:eastAsia="宋体" w:cs="宋体"/>
                <w:color w:val="000000"/>
                <w:sz w:val="21"/>
              </w:rPr>
              <w:t>§ 五. 报告期内产品投资策略</w:t>
            </w:r>
            <w:r>
              <w:rPr>
                <w:rFonts w:ascii="宋体" w:hAnsi="宋体" w:eastAsia="宋体" w:cs="宋体"/>
                <w:color w:val="000000"/>
                <w:sz w:val="21"/>
              </w:rPr>
              <w:br w:type="textWrapping"/>
            </w:r>
            <w:r>
              <w:rPr>
                <w:rFonts w:ascii="宋体" w:hAnsi="宋体" w:eastAsia="宋体" w:cs="宋体"/>
                <w:color w:val="000000"/>
                <w:sz w:val="21"/>
              </w:rPr>
              <w:t>§ 六. 投资组合情况</w:t>
            </w:r>
            <w:r>
              <w:rPr>
                <w:rFonts w:ascii="宋体" w:hAnsi="宋体" w:eastAsia="宋体" w:cs="宋体"/>
                <w:color w:val="000000"/>
                <w:sz w:val="21"/>
              </w:rPr>
              <w:br w:type="textWrapping"/>
            </w:r>
            <w:r>
              <w:rPr>
                <w:rFonts w:ascii="宋体" w:hAnsi="宋体" w:eastAsia="宋体" w:cs="宋体"/>
                <w:color w:val="000000"/>
                <w:sz w:val="21"/>
              </w:rPr>
              <w:t xml:space="preserve">     1. 报告期末资产组合情况</w:t>
            </w:r>
            <w:r>
              <w:rPr>
                <w:rFonts w:ascii="宋体" w:hAnsi="宋体" w:eastAsia="宋体" w:cs="宋体"/>
                <w:color w:val="000000"/>
                <w:sz w:val="21"/>
              </w:rPr>
              <w:br w:type="textWrapping"/>
            </w:r>
            <w:r>
              <w:rPr>
                <w:rFonts w:ascii="宋体" w:hAnsi="宋体" w:eastAsia="宋体" w:cs="宋体"/>
                <w:color w:val="000000"/>
                <w:sz w:val="21"/>
              </w:rPr>
              <w:t xml:space="preserve">     2. 报告期末杠杆融资情况</w:t>
            </w:r>
            <w:r>
              <w:rPr>
                <w:rFonts w:ascii="宋体" w:hAnsi="宋体" w:eastAsia="宋体" w:cs="宋体"/>
                <w:color w:val="000000"/>
                <w:sz w:val="21"/>
              </w:rPr>
              <w:br w:type="textWrapping"/>
            </w:r>
            <w:r>
              <w:rPr>
                <w:rFonts w:ascii="宋体" w:hAnsi="宋体" w:eastAsia="宋体" w:cs="宋体"/>
                <w:color w:val="000000"/>
                <w:sz w:val="21"/>
              </w:rPr>
              <w:t xml:space="preserve">     3. 投资组合的流动性风险分析</w:t>
            </w:r>
            <w:r>
              <w:rPr>
                <w:rFonts w:ascii="宋体" w:hAnsi="宋体" w:eastAsia="宋体" w:cs="宋体"/>
                <w:color w:val="000000"/>
                <w:sz w:val="21"/>
              </w:rPr>
              <w:br w:type="textWrapping"/>
            </w:r>
            <w:r>
              <w:rPr>
                <w:rFonts w:ascii="宋体" w:hAnsi="宋体" w:eastAsia="宋体" w:cs="宋体"/>
                <w:color w:val="000000"/>
                <w:sz w:val="21"/>
              </w:rPr>
              <w:t xml:space="preserve">     4. 报告期末资产持仓前十基本信息</w:t>
            </w:r>
            <w:r>
              <w:rPr>
                <w:rFonts w:ascii="宋体" w:hAnsi="宋体" w:eastAsia="宋体" w:cs="宋体"/>
                <w:color w:val="000000"/>
                <w:sz w:val="21"/>
              </w:rPr>
              <w:br w:type="textWrapping"/>
            </w:r>
            <w:r>
              <w:rPr>
                <w:rFonts w:ascii="宋体" w:hAnsi="宋体" w:eastAsia="宋体" w:cs="宋体"/>
                <w:color w:val="000000"/>
                <w:sz w:val="21"/>
              </w:rPr>
              <w:t xml:space="preserve">     5. 报告期间关联交易情况</w:t>
            </w:r>
            <w:r>
              <w:rPr>
                <w:rFonts w:ascii="宋体" w:hAnsi="宋体" w:eastAsia="宋体" w:cs="宋体"/>
                <w:color w:val="000000"/>
                <w:sz w:val="21"/>
              </w:rPr>
              <w:br w:type="textWrapping"/>
            </w:r>
            <w:r>
              <w:rPr>
                <w:rFonts w:ascii="宋体" w:hAnsi="宋体" w:eastAsia="宋体" w:cs="宋体"/>
                <w:color w:val="000000"/>
                <w:sz w:val="21"/>
              </w:rPr>
              <w:t xml:space="preserve">     6. 投资账户信息</w:t>
            </w:r>
          </w:p>
        </w:tc>
        <w:tc>
          <w:p>
            <w:pPr>
              <w:pStyle w:val="4"/>
            </w:pPr>
          </w:p>
        </w:tc>
        <w:tc>
          <w:p>
            <w:pPr>
              <w:pStyle w:val="4"/>
            </w:pPr>
          </w:p>
        </w:tc>
      </w:tr>
      <w:tr>
        <w:tblPrEx>
          <w:tblCellMar>
            <w:top w:w="0" w:type="dxa"/>
            <w:left w:w="10" w:type="dxa"/>
            <w:bottom w:w="0" w:type="dxa"/>
            <w:right w:w="10" w:type="dxa"/>
          </w:tblCellMar>
        </w:tblPrEx>
        <w:trPr>
          <w:gridAfter w:val="4"/>
          <w:trHeight w:val="608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3"/>
          </w:tcPr>
          <w:p>
            <w:pPr>
              <w:pStyle w:val="4"/>
            </w:pPr>
          </w:p>
        </w:tc>
        <w:tc>
          <w:tcPr>
            <w:gridSpan w:val="3"/>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2/</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0" w:hRule="atLeast"/>
        </w:trPr>
        <w:tc>
          <w:p>
            <w:pPr>
              <w:pStyle w:val="4"/>
              <w:pageBreakBefore/>
            </w:pPr>
            <w:bookmarkStart w:id="2" w:name="JR_PAGE_ANCHOR_0_3"/>
            <w:bookmarkEnd w:id="2"/>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兴银理财悦动2号ESG净值型理财产品2023年第一季度报告</w:t>
            </w: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trHeight w:val="6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一. 重要提示</w:t>
            </w:r>
          </w:p>
        </w:tc>
        <w:tc>
          <w:p>
            <w:pPr>
              <w:pStyle w:val="4"/>
            </w:pPr>
          </w:p>
        </w:tc>
      </w:tr>
      <w:tr>
        <w:tblPrEx>
          <w:tblCellMar>
            <w:top w:w="0" w:type="dxa"/>
            <w:left w:w="10" w:type="dxa"/>
            <w:bottom w:w="0" w:type="dxa"/>
            <w:right w:w="10" w:type="dxa"/>
          </w:tblCellMar>
        </w:tblPrEx>
        <w:trPr>
          <w:gridAfter w:val="4"/>
          <w:trHeight w:val="2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3080" w:hRule="atLeast"/>
        </w:trPr>
        <w:tc>
          <w:p>
            <w:pPr>
              <w:pStyle w:val="4"/>
            </w:pPr>
          </w:p>
        </w:tc>
        <w:tc>
          <w:tcPr>
            <w:gridSpan w:val="15"/>
            <w:tcBorders>
              <w:top w:val="dotted" w:color="000000" w:sz="8" w:space="0"/>
              <w:left w:val="dotted" w:color="000000" w:sz="8" w:space="0"/>
              <w:bottom w:val="dotted" w:color="000000" w:sz="8" w:space="0"/>
              <w:right w:val="dotted" w:color="000000" w:sz="8" w:space="0"/>
            </w:tcBorders>
            <w:tcMar>
              <w:top w:w="0" w:type="dxa"/>
              <w:left w:w="0" w:type="dxa"/>
              <w:bottom w:w="0" w:type="dxa"/>
              <w:right w:w="0" w:type="dxa"/>
            </w:tcMar>
            <w:vAlign w:val="top"/>
          </w:tcPr>
          <w:p>
            <w:pPr>
              <w:spacing w:before="0" w:after="0" w:line="360" w:lineRule="auto"/>
              <w:jc w:val="left"/>
            </w:pPr>
            <w:r>
              <w:rPr>
                <w:rFonts w:ascii="仿宋" w:hAnsi="仿宋" w:eastAsia="仿宋" w:cs="仿宋"/>
                <w:color w:val="000000"/>
                <w:sz w:val="21"/>
              </w:rPr>
              <w:br w:type="textWrapping"/>
            </w:r>
            <w:r>
              <w:rPr>
                <w:rFonts w:ascii="仿宋" w:hAnsi="仿宋" w:eastAsia="仿宋" w:cs="仿宋"/>
                <w:color w:val="000000"/>
                <w:sz w:val="21"/>
              </w:rPr>
              <w:t xml:space="preserve"> 1. 温馨提醒：理财非存款，产品有风险，投资需谨慎！</w:t>
            </w:r>
            <w:r>
              <w:rPr>
                <w:rFonts w:ascii="仿宋" w:hAnsi="仿宋" w:eastAsia="仿宋" w:cs="仿宋"/>
                <w:color w:val="000000"/>
                <w:sz w:val="21"/>
              </w:rPr>
              <w:br w:type="textWrapping"/>
            </w:r>
            <w:r>
              <w:rPr>
                <w:rFonts w:ascii="仿宋" w:hAnsi="仿宋" w:eastAsia="仿宋" w:cs="仿宋"/>
                <w:color w:val="000000"/>
                <w:sz w:val="21"/>
              </w:rPr>
              <w:t xml:space="preserve"> 2. 理财信息可供参考，详情请咨询理财经理，或在“中国理财网（www.chinawealth.com.cn）”查询该产品相关信息。</w:t>
            </w:r>
            <w:r>
              <w:rPr>
                <w:rFonts w:ascii="仿宋" w:hAnsi="仿宋" w:eastAsia="仿宋" w:cs="仿宋"/>
                <w:color w:val="000000"/>
                <w:sz w:val="21"/>
              </w:rPr>
              <w:br w:type="textWrapping"/>
            </w:r>
            <w:r>
              <w:rPr>
                <w:rFonts w:ascii="仿宋" w:hAnsi="仿宋" w:eastAsia="仿宋" w:cs="仿宋"/>
                <w:color w:val="000000"/>
                <w:sz w:val="21"/>
              </w:rPr>
              <w:t xml:space="preserve"> 3. 兴银理财有限责任公司保留对所有文字说明的最终解释权。</w:t>
            </w:r>
            <w:r>
              <w:rPr>
                <w:rFonts w:ascii="仿宋" w:hAnsi="仿宋" w:eastAsia="仿宋" w:cs="仿宋"/>
                <w:color w:val="000000"/>
                <w:sz w:val="21"/>
              </w:rPr>
              <w:br w:type="textWrapping"/>
            </w:r>
            <w:r>
              <w:rPr>
                <w:rFonts w:ascii="仿宋" w:hAnsi="仿宋" w:eastAsia="仿宋" w:cs="仿宋"/>
                <w:color w:val="000000"/>
                <w:sz w:val="21"/>
              </w:rPr>
              <w:t xml:space="preserve"> 4. 投资组合情况（期末资产组合情况、杠杆比例、资产前十持仓等）详情请理财持有人登录网银后进行查询。</w:t>
            </w:r>
            <w:r>
              <w:rPr>
                <w:rFonts w:ascii="仿宋" w:hAnsi="仿宋" w:eastAsia="仿宋" w:cs="仿宋"/>
                <w:color w:val="000000"/>
                <w:sz w:val="21"/>
              </w:rPr>
              <w:br w:type="textWrapping"/>
            </w:r>
          </w:p>
        </w:tc>
        <w:tc>
          <w:p>
            <w:pPr>
              <w:pStyle w:val="4"/>
            </w:pPr>
          </w:p>
        </w:tc>
      </w:tr>
      <w:tr>
        <w:tblPrEx>
          <w:tblCellMar>
            <w:top w:w="0" w:type="dxa"/>
            <w:left w:w="10" w:type="dxa"/>
            <w:bottom w:w="0" w:type="dxa"/>
            <w:right w:w="10" w:type="dxa"/>
          </w:tblCellMar>
        </w:tblPrEx>
        <w:trPr>
          <w:gridAfter w:val="4"/>
          <w:trHeight w:val="6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二. 产品基本情况</w:t>
            </w:r>
          </w:p>
        </w:tc>
        <w:tc>
          <w:p>
            <w:pPr>
              <w:pStyle w:val="4"/>
            </w:pPr>
          </w:p>
        </w:tc>
      </w:tr>
      <w:tr>
        <w:tblPrEx>
          <w:tblCellMar>
            <w:top w:w="0" w:type="dxa"/>
            <w:left w:w="10" w:type="dxa"/>
            <w:bottom w:w="0" w:type="dxa"/>
            <w:right w:w="10" w:type="dxa"/>
          </w:tblCellMar>
        </w:tblPrEx>
        <w:trPr>
          <w:gridAfter w:val="4"/>
          <w:trHeight w:val="2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产品名称</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兴银理财悦动2号ESG净值型理财产品</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产品代码</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9K220110</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全国银行业理财信息登记系统登记编码</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Z7002021000220</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产品运作方式</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开放式</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产品募集方式</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公募</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投资类型</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固定收益类</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报告期末产品份额总额</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2,677,462,120.57份</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业绩比较基准/业绩报酬计提基准</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3.80%--5.00%/5.00%</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投资币种</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人民币</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风险等级</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R2</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产品管理人</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兴银理财有限责任公司</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产品托管人</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兴业银行股份有限公司</w:t>
            </w:r>
          </w:p>
        </w:tc>
        <w:tc>
          <w:p>
            <w:pPr>
              <w:pStyle w:val="4"/>
            </w:pPr>
          </w:p>
        </w:tc>
      </w:tr>
      <w:tr>
        <w:tblPrEx>
          <w:tblCellMar>
            <w:top w:w="0" w:type="dxa"/>
            <w:left w:w="10" w:type="dxa"/>
            <w:bottom w:w="0" w:type="dxa"/>
            <w:right w:w="10" w:type="dxa"/>
          </w:tblCellMar>
        </w:tblPrEx>
        <w:trPr>
          <w:gridAfter w:val="4"/>
          <w:trHeight w:val="1800" w:hRule="exact"/>
        </w:trPr>
        <w:tc>
          <w:p>
            <w:pPr>
              <w:pStyle w:val="4"/>
            </w:pPr>
          </w:p>
        </w:tc>
        <w:tc>
          <w:tcPr>
            <w:gridSpan w:val="15"/>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gridCol w:w="3600"/>
              <w:gridCol w:w="4100"/>
            </w:tblGrid>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2980"/>
                    <w:gridCol w:w="2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下属子份额的销售名称</w:t>
                        </w:r>
                      </w:p>
                    </w:tc>
                    <w:tc>
                      <w:p>
                        <w:pPr>
                          <w:pStyle w:val="4"/>
                        </w:pPr>
                      </w:p>
                    </w:tc>
                  </w:tr>
                </w:tbl>
                <w:p>
                  <w:pPr>
                    <w:pStyle w:val="4"/>
                  </w:pPr>
                </w:p>
              </w:tc>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下属子份额的销售代码</w:t>
                        </w:r>
                      </w:p>
                    </w:tc>
                  </w:tr>
                </w:tbl>
                <w:p>
                  <w:pPr>
                    <w:pStyle w:val="4"/>
                  </w:pPr>
                </w:p>
              </w:tc>
              <w:tc>
                <w:tcPr>
                  <w:tcBorders>
                    <w:top w:val="single" w:color="000000" w:sz="2" w:space="0"/>
                    <w:left w:val="single" w:color="000000" w:sz="2" w:space="0"/>
                    <w:bottom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rPr>
                      <w:trHeight w:val="580" w:hRule="atLeast"/>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报告期末下属子份额的产品份额总数</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兴银ESG悦动2号A</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9K22011A</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1,812,179,060.44</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兴银ESG悦动2号B</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9K22011B</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865,283,060.13</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4"/>
          <w:trHeight w:val="112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6"/>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3/</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3" w:name="JR_PAGE_ANCHOR_0_4"/>
            <w:bookmarkEnd w:id="3"/>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兴银理财悦动2号ESG净值型理财产品2023年第一季度报告</w:t>
            </w: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三. 产品收益表现</w:t>
            </w:r>
          </w:p>
        </w:tc>
        <w:tc>
          <w:tcPr>
            <w:gridSpan w:val="4"/>
          </w:tcPr>
          <w:p>
            <w:pPr>
              <w:pStyle w:val="4"/>
            </w:pPr>
          </w:p>
        </w:tc>
        <w:tc>
          <w:p>
            <w:pPr>
              <w:pStyle w:val="4"/>
            </w:pPr>
          </w:p>
        </w:tc>
      </w:tr>
      <w:tr>
        <w:tblPrEx>
          <w:tblCellMar>
            <w:top w:w="0" w:type="dxa"/>
            <w:left w:w="10" w:type="dxa"/>
            <w:bottom w:w="0" w:type="dxa"/>
            <w:right w:w="10" w:type="dxa"/>
          </w:tblCellMar>
        </w:tblPrEx>
        <w:trPr>
          <w:trHeight w:val="4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900" w:hRule="atLeast"/>
        </w:trPr>
        <w:tc>
          <w:p>
            <w:pPr>
              <w:pStyle w:val="4"/>
            </w:pPr>
          </w:p>
        </w:tc>
        <w:tc>
          <w:tcPr>
            <w:gridSpan w:val="2"/>
          </w:tcPr>
          <w:p>
            <w:pPr>
              <w:pStyle w:val="4"/>
            </w:pPr>
          </w:p>
        </w:tc>
        <w:tc>
          <w:tcPr>
            <w:gridSpan w:val="11"/>
            <w:tcMar>
              <w:top w:w="0" w:type="dxa"/>
              <w:left w:w="0" w:type="dxa"/>
              <w:bottom w:w="0" w:type="dxa"/>
              <w:right w:w="0" w:type="dxa"/>
            </w:tcMar>
            <w:vAlign w:val="center"/>
          </w:tcPr>
          <w:p>
            <w:pPr>
              <w:spacing w:before="0" w:after="0" w:line="320" w:lineRule="exact"/>
              <w:ind w:firstLine="0"/>
              <w:jc w:val="left"/>
            </w:pPr>
            <w:r>
              <w:rPr>
                <w:rFonts w:ascii="宋体" w:hAnsi="宋体" w:eastAsia="宋体" w:cs="宋体"/>
                <w:color w:val="000000"/>
                <w:sz w:val="21"/>
              </w:rPr>
              <w:t>产品9K22011A自成立日以来，累计净值增长率为5.6840%，年化累计净值增长率为3.7381%。</w:t>
            </w:r>
            <w:r>
              <w:rPr>
                <w:rFonts w:ascii="宋体" w:hAnsi="宋体" w:eastAsia="宋体" w:cs="宋体"/>
                <w:color w:val="000000"/>
                <w:sz w:val="21"/>
              </w:rPr>
              <w:br w:type="textWrapping"/>
            </w:r>
            <w:r>
              <w:rPr>
                <w:rFonts w:ascii="宋体" w:hAnsi="宋体" w:eastAsia="宋体" w:cs="宋体"/>
                <w:color w:val="000000"/>
                <w:sz w:val="21"/>
              </w:rPr>
              <w:t>产品9K22011B自成立日以来，累计净值增长率为5.7660%，年化累计净值增长率为3.7921%。</w:t>
            </w:r>
            <w:r>
              <w:rPr>
                <w:rFonts w:ascii="宋体" w:hAnsi="宋体" w:eastAsia="宋体" w:cs="宋体"/>
                <w:color w:val="000000"/>
                <w:sz w:val="21"/>
              </w:rPr>
              <w:br w:type="textWrapping"/>
            </w:r>
            <w:r>
              <w:rPr>
                <w:rFonts w:ascii="宋体" w:hAnsi="宋体" w:eastAsia="宋体" w:cs="宋体"/>
                <w:color w:val="000000"/>
                <w:sz w:val="21"/>
              </w:rPr>
              <w:t>报告期末，产品净值表现具体如下：</w:t>
            </w: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2"/>
          </w:tcPr>
          <w:p>
            <w:pPr>
              <w:pStyle w:val="4"/>
            </w:pPr>
          </w:p>
        </w:tc>
        <w:tc>
          <w:tcPr>
            <w:gridSpan w:val="17"/>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2000"/>
              <w:gridCol w:w="2400"/>
              <w:gridCol w:w="2200"/>
              <w:gridCol w:w="23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9K220110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2023年3月31日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1.05710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1.05710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2,830,349,320.11</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1800" w:hRule="exact"/>
        </w:trPr>
        <w:tc>
          <w:p>
            <w:pPr>
              <w:pStyle w:val="4"/>
            </w:pPr>
          </w:p>
        </w:tc>
        <w:tc>
          <w:tcPr>
            <w:gridSpan w:val="2"/>
          </w:tcPr>
          <w:p>
            <w:pPr>
              <w:pStyle w:val="4"/>
            </w:pPr>
          </w:p>
        </w:tc>
        <w:tc>
          <w:tcPr>
            <w:gridSpan w:val="17"/>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2000"/>
              <w:gridCol w:w="2400"/>
              <w:gridCol w:w="2200"/>
              <w:gridCol w:w="23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销售代码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9K22011A</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2023年3月31日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1.05684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1.05684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1,915,174,874.56</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9K22011B</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2023年3月31日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1.05766</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1.05766</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915,174,445.55</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56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四. 产品投资经理简介</w:t>
            </w:r>
          </w:p>
        </w:tc>
        <w:tc>
          <w:tcPr>
            <w:gridSpan w:val="4"/>
          </w:tcPr>
          <w:p>
            <w:pPr>
              <w:pStyle w:val="4"/>
            </w:pPr>
          </w:p>
        </w:tc>
        <w:tc>
          <w:p>
            <w:pPr>
              <w:pStyle w:val="4"/>
            </w:pPr>
          </w:p>
        </w:tc>
      </w:tr>
      <w:tr>
        <w:tblPrEx>
          <w:tblCellMar>
            <w:top w:w="0" w:type="dxa"/>
            <w:left w:w="10" w:type="dxa"/>
            <w:bottom w:w="0" w:type="dxa"/>
            <w:right w:w="10" w:type="dxa"/>
          </w:tblCellMar>
        </w:tblPrEx>
        <w:trPr>
          <w:trHeight w:val="4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56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徐莹女士，上海财经大学金融学硕士，CFA，13年证券投资经验。2008年至2013年在兴业银行从事债券投资、组合投资管理，2013年至2021年任兴业基金管理有限公司固收投资部团队总监及基金经理，历任兴业定期开放债券型证券投资基金、兴业年年利定期开放债券型证券投资基金、兴业添利债券型证券投资基金、兴业14天理财债券型证券投资基金、兴业瑞丰6个月定期开放债券型证券投资基金、兴业奕祥混合型证券投资基金基金经理，2021年至今任兴银理财投资经理。擅长长期宏观趋势判断及中观产业分析，投资风格均衡稳定。</w:t>
            </w:r>
          </w:p>
        </w:tc>
        <w:tc>
          <w:tcPr>
            <w:gridSpan w:val="4"/>
          </w:tcPr>
          <w:p>
            <w:pPr>
              <w:pStyle w:val="4"/>
            </w:pPr>
          </w:p>
        </w:tc>
        <w:tc>
          <w:p>
            <w:pPr>
              <w:pStyle w:val="4"/>
            </w:pPr>
          </w:p>
        </w:tc>
      </w:tr>
      <w:tr>
        <w:tblPrEx>
          <w:tblCellMar>
            <w:top w:w="0" w:type="dxa"/>
            <w:left w:w="10" w:type="dxa"/>
            <w:bottom w:w="0" w:type="dxa"/>
            <w:right w:w="10" w:type="dxa"/>
          </w:tblCellMar>
        </w:tblPrEx>
        <w:trPr>
          <w:trHeight w:val="7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五. 报告期内产品的投资策略和运作分析</w:t>
            </w:r>
          </w:p>
        </w:tc>
        <w:tc>
          <w:tcPr>
            <w:gridSpan w:val="4"/>
          </w:tcPr>
          <w:p>
            <w:pPr>
              <w:pStyle w:val="4"/>
            </w:pPr>
          </w:p>
        </w:tc>
        <w:tc>
          <w:p>
            <w:pPr>
              <w:pStyle w:val="4"/>
            </w:pPr>
          </w:p>
        </w:tc>
      </w:tr>
      <w:tr>
        <w:tblPrEx>
          <w:tblCellMar>
            <w:top w:w="0" w:type="dxa"/>
            <w:left w:w="10" w:type="dxa"/>
            <w:bottom w:w="0" w:type="dxa"/>
            <w:right w:w="10" w:type="dxa"/>
          </w:tblCellMar>
        </w:tblPrEx>
        <w:trPr>
          <w:trHeight w:val="4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42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一、市场回顾及市场展望。</w:t>
            </w:r>
            <w:r>
              <w:rPr>
                <w:rFonts w:ascii="宋体" w:hAnsi="宋体" w:eastAsia="宋体" w:cs="宋体"/>
                <w:color w:val="000000"/>
                <w:sz w:val="21"/>
              </w:rPr>
              <w:br w:type="textWrapping"/>
            </w:r>
            <w:r>
              <w:rPr>
                <w:rFonts w:ascii="宋体" w:hAnsi="宋体" w:eastAsia="宋体" w:cs="宋体"/>
                <w:color w:val="000000"/>
                <w:sz w:val="21"/>
              </w:rPr>
              <w:t xml:space="preserve">    首先，中长周期的角度（3-7年）可能是美国再工业化，中国商品滞销，中国叠加人口、地产的大顶，存在长时间的资产负债表衰退的过程，类似日本90年代，但好在是个长周期的维度，同时，还有东南亚城镇化率的提升、中东的工业化，所以不影响短周期的市场判断。中期维度，本轮库存周期应该是个中等幅度的经济周期，比13年强，比16年弱，从时间维度上看，目前可能才走到 1/4-1/3的位置，23年大概处于弱复苏的阶段，节奏上三阶段，强预期、弱现实，再到政策发力，假设没有黑天鹅，从年尾回头看，虽然不一定大涨，但可能债券、股票都未必弱，因此，债券不宜过于悲观，维持中性久期，保持谨慎心态可能更合适。股票前一阶段走“弱现实，预期转弱”的逻辑，但是市场有GPT的催化，产业周期的驱动使得市场回调不深，热度仍在，当前悲观预期逐步散去，情绪从乐观到悲观，再到理性中偏乐观，近期一系列新政府行为让市场感受到暖意，资本市场和民营企业需要的信心在回来，价值和核心资产与科技成长都存在机会。</w:t>
            </w:r>
            <w:r>
              <w:rPr>
                <w:rFonts w:ascii="宋体" w:hAnsi="宋体" w:eastAsia="宋体" w:cs="宋体"/>
                <w:color w:val="000000"/>
                <w:sz w:val="21"/>
              </w:rPr>
              <w:br w:type="textWrapping"/>
            </w:r>
            <w:r>
              <w:rPr>
                <w:rFonts w:ascii="宋体" w:hAnsi="宋体" w:eastAsia="宋体" w:cs="宋体"/>
                <w:color w:val="000000"/>
                <w:sz w:val="21"/>
              </w:rPr>
              <w:t>二、组合策略。</w:t>
            </w:r>
            <w:r>
              <w:rPr>
                <w:rFonts w:ascii="宋体" w:hAnsi="宋体" w:eastAsia="宋体" w:cs="宋体"/>
                <w:color w:val="000000"/>
                <w:sz w:val="21"/>
              </w:rPr>
              <w:br w:type="textWrapping"/>
            </w:r>
            <w:r>
              <w:rPr>
                <w:rFonts w:ascii="宋体" w:hAnsi="宋体" w:eastAsia="宋体" w:cs="宋体"/>
                <w:color w:val="000000"/>
                <w:sz w:val="21"/>
              </w:rPr>
              <w:t xml:space="preserve">    悦动2号目前维持久期0.5-1.5年；衍生品套利策略不高于5%的比例，2023年整体经济将处于弱复苏阶段，债券处于震荡市，结构上，增加中短高票息信用品种，增加组合的流动性，让组合进可攻，退可守，并择机博弈市场机会。</w:t>
            </w:r>
            <w:bookmarkStart w:id="7" w:name="_GoBack"/>
            <w:bookmarkEnd w:id="7"/>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4"/>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4/</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2"/>
          <w:trHeight w:val="0" w:hRule="atLeast"/>
        </w:trPr>
        <w:tc>
          <w:p>
            <w:pPr>
              <w:pStyle w:val="4"/>
              <w:pageBreakBefore/>
            </w:pPr>
            <w:bookmarkStart w:id="4" w:name="JR_PAGE_ANCHOR_0_5"/>
            <w:bookmarkEnd w:id="4"/>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兴银理财悦动2号ESG净值型理财产品2023年第一季度报告</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8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br w:type="textWrapping"/>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8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六. 投资组合情况</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00" w:hRule="atLeast"/>
        </w:trPr>
        <w:tc>
          <w:p>
            <w:pPr>
              <w:pStyle w:val="4"/>
            </w:pPr>
          </w:p>
        </w:tc>
        <w:tc>
          <w:p>
            <w:pPr>
              <w:pStyle w:val="4"/>
            </w:pPr>
          </w:p>
        </w:tc>
        <w:tc>
          <w:tcPr>
            <w:gridSpan w:val="16"/>
            <w:tcMar>
              <w:top w:w="0" w:type="dxa"/>
              <w:left w:w="0" w:type="dxa"/>
              <w:bottom w:w="0" w:type="dxa"/>
              <w:right w:w="0" w:type="dxa"/>
            </w:tcMar>
            <w:vAlign w:val="center"/>
          </w:tcPr>
          <w:p>
            <w:pPr>
              <w:jc w:val="left"/>
            </w:pPr>
            <w:r>
              <w:rPr>
                <w:rFonts w:ascii="宋体" w:hAnsi="宋体" w:eastAsia="宋体" w:cs="宋体"/>
                <w:b/>
                <w:color w:val="000000"/>
                <w:sz w:val="21"/>
              </w:rPr>
              <w:t>1.报告期末产品资产组合情况</w:t>
            </w:r>
          </w:p>
        </w:tc>
        <w:tc>
          <w:p>
            <w:pPr>
              <w:pStyle w:val="4"/>
            </w:pPr>
          </w:p>
        </w:tc>
      </w:tr>
      <w:tr>
        <w:tblPrEx>
          <w:tblCellMar>
            <w:top w:w="0" w:type="dxa"/>
            <w:left w:w="10" w:type="dxa"/>
            <w:bottom w:w="0" w:type="dxa"/>
            <w:right w:w="10" w:type="dxa"/>
          </w:tblCellMar>
        </w:tblPrEx>
        <w:trPr>
          <w:gridAfter w:val="2"/>
          <w:trHeight w:val="4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000" w:hRule="exact"/>
        </w:trPr>
        <w:tc>
          <w:p>
            <w:pPr>
              <w:pStyle w:val="4"/>
            </w:pPr>
          </w:p>
        </w:tc>
        <w:tc>
          <w:p>
            <w:pPr>
              <w:pStyle w:val="4"/>
            </w:pPr>
          </w:p>
        </w:tc>
        <w:tc>
          <w:tcPr>
            <w:gridSpan w:val="16"/>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600"/>
              <w:gridCol w:w="3600"/>
              <w:gridCol w:w="3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直接投资占产品总资产的比例（%）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0F8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间接投资占产品总资产的比例（%）</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现金及银行存款</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16.55</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16.56</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公募基金</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代客境外理财投资QDII</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0.74</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金融衍生品</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2.90</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拆放同业及债券买入返售</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0.07</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债券</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43.53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44.00</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非标准化债权类资产</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35.73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35.73</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委外投资</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4.19</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总计</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2"/>
          <w:trHeight w:val="2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00" w:hRule="atLeast"/>
        </w:trPr>
        <w:tc>
          <w:p>
            <w:pPr>
              <w:pStyle w:val="4"/>
            </w:pPr>
          </w:p>
        </w:tc>
        <w:tc>
          <w:tcPr>
            <w:gridSpan w:val="15"/>
            <w:tcMar>
              <w:top w:w="0" w:type="dxa"/>
              <w:left w:w="0" w:type="dxa"/>
              <w:bottom w:w="0" w:type="dxa"/>
              <w:right w:w="0" w:type="dxa"/>
            </w:tcMar>
            <w:vAlign w:val="center"/>
          </w:tcPr>
          <w:p>
            <w:pPr>
              <w:jc w:val="left"/>
            </w:pPr>
            <w:r>
              <w:rPr>
                <w:rFonts w:ascii="宋体" w:hAnsi="宋体" w:eastAsia="宋体" w:cs="宋体"/>
                <w:b/>
                <w:color w:val="000000"/>
                <w:sz w:val="21"/>
              </w:rPr>
              <w:t>2.报告期末杠杆融资情况</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100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报告期末本产品总资产未超过该产品净资产规模的140%，符合产品协议对本产品杠杆比例的要求。</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00" w:hRule="atLeast"/>
        </w:trPr>
        <w:tc>
          <w:p>
            <w:pPr>
              <w:pStyle w:val="4"/>
            </w:pPr>
          </w:p>
        </w:tc>
        <w:tc>
          <w:tcPr>
            <w:gridSpan w:val="15"/>
            <w:tcMar>
              <w:top w:w="0" w:type="dxa"/>
              <w:left w:w="0" w:type="dxa"/>
              <w:bottom w:w="0" w:type="dxa"/>
              <w:right w:w="0" w:type="dxa"/>
            </w:tcMar>
            <w:vAlign w:val="center"/>
          </w:tcPr>
          <w:p>
            <w:pPr>
              <w:jc w:val="left"/>
            </w:pPr>
            <w:r>
              <w:rPr>
                <w:rFonts w:ascii="宋体" w:hAnsi="宋体" w:eastAsia="宋体" w:cs="宋体"/>
                <w:b/>
                <w:color w:val="000000"/>
                <w:sz w:val="21"/>
              </w:rPr>
              <w:t>3.投资组合的流动性风险分析</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58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r>
            <w:r>
              <w:rPr>
                <w:rFonts w:ascii="宋体" w:hAnsi="宋体" w:eastAsia="宋体" w:cs="宋体"/>
                <w:color w:val="000000"/>
                <w:sz w:val="21"/>
              </w:rPr>
              <w:br w:type="textWrapping"/>
            </w:r>
            <w:r>
              <w:rPr>
                <w:rFonts w:ascii="宋体" w:hAnsi="宋体" w:eastAsia="宋体" w:cs="宋体"/>
                <w:color w:val="000000"/>
                <w:sz w:val="21"/>
              </w:rPr>
              <w:t xml:space="preserve">    为防范无法支付赎回款而产生的流动性风险，本理财产品管理人将合理安排所投资产期限，持续根据市场变化情况做好投资安排，尽可能降低产品流动性风险，有效保障理财持有人利益。</w:t>
            </w:r>
            <w:r>
              <w:rPr>
                <w:rFonts w:ascii="宋体" w:hAnsi="宋体" w:eastAsia="宋体" w:cs="宋体"/>
                <w:color w:val="000000"/>
                <w:sz w:val="21"/>
              </w:rPr>
              <w:br w:type="textWrapping"/>
            </w:r>
            <w:r>
              <w:rPr>
                <w:rFonts w:ascii="宋体" w:hAnsi="宋体" w:eastAsia="宋体" w:cs="宋体"/>
                <w:color w:val="000000"/>
                <w:sz w:val="21"/>
              </w:rPr>
              <w:t xml:space="preserve">    报告期内，本理财产品管理人严格遵守相关法律法规以及产品销售协议，对理财产品组合资产的流动性风险进行管理，报告期内未发生流动性风险。</w:t>
            </w:r>
            <w:r>
              <w:rPr>
                <w:rFonts w:ascii="宋体" w:hAnsi="宋体" w:eastAsia="宋体" w:cs="宋体"/>
                <w:color w:val="000000"/>
                <w:sz w:val="21"/>
              </w:rPr>
              <w:br w:type="textWrapping"/>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160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00" w:hRule="atLeast"/>
        </w:trPr>
        <w:tc>
          <w:p>
            <w:pPr>
              <w:pStyle w:val="4"/>
            </w:pPr>
          </w:p>
        </w:tc>
        <w:tc>
          <w:p>
            <w:pPr>
              <w:pStyle w:val="4"/>
            </w:pPr>
          </w:p>
        </w:tc>
        <w:tc>
          <w:tcPr>
            <w:gridSpan w:val="5"/>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5/</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5" w:name="JR_PAGE_ANCHOR_0_6"/>
            <w:bookmarkEnd w:id="5"/>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兴银理财悦动2号ESG净值型理财产品2023年第一季度报告</w:t>
            </w: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2"/>
          </w:tcPr>
          <w:p>
            <w:pPr>
              <w:pStyle w:val="4"/>
            </w:pPr>
          </w:p>
        </w:tc>
        <w:tc>
          <w:tcPr>
            <w:gridSpan w:val="17"/>
            <w:tcMar>
              <w:top w:w="0" w:type="dxa"/>
              <w:left w:w="0" w:type="dxa"/>
              <w:bottom w:w="0" w:type="dxa"/>
              <w:right w:w="0" w:type="dxa"/>
            </w:tcMar>
            <w:vAlign w:val="center"/>
          </w:tcPr>
          <w:p>
            <w:r>
              <w:rPr>
                <w:rFonts w:ascii="宋体" w:hAnsi="宋体" w:eastAsia="宋体" w:cs="宋体"/>
                <w:b/>
                <w:color w:val="000000"/>
                <w:sz w:val="21"/>
              </w:rPr>
              <w:t>4.报告期末资产持仓前十基本信息</w:t>
            </w:r>
          </w:p>
        </w:tc>
        <w:tc>
          <w:p>
            <w:pPr>
              <w:pStyle w:val="4"/>
            </w:pPr>
          </w:p>
        </w:tc>
      </w:tr>
      <w:tr>
        <w:tblPrEx>
          <w:tblCellMar>
            <w:top w:w="0" w:type="dxa"/>
            <w:left w:w="10" w:type="dxa"/>
            <w:bottom w:w="0" w:type="dxa"/>
            <w:right w:w="10" w:type="dxa"/>
          </w:tblCellMar>
        </w:tblPrEx>
        <w:trPr>
          <w:trHeight w:val="6640" w:hRule="exact"/>
        </w:trPr>
        <w:tc>
          <w:p>
            <w:pPr>
              <w:pStyle w:val="4"/>
            </w:pPr>
          </w:p>
        </w:tc>
        <w:tc>
          <w:tcPr>
            <w:gridSpan w:val="2"/>
          </w:tcPr>
          <w:p>
            <w:pPr>
              <w:pStyle w:val="4"/>
            </w:pPr>
          </w:p>
        </w:tc>
        <w:tc>
          <w:tcPr>
            <w:gridSpan w:val="17"/>
            <w:tcBorders>
              <w:bottom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4000"/>
              <w:gridCol w:w="2600"/>
              <w:gridCol w:w="3100"/>
            </w:tblGrid>
            <w:tr>
              <w:tblPrEx>
                <w:tblCellMar>
                  <w:top w:w="0" w:type="dxa"/>
                  <w:left w:w="10" w:type="dxa"/>
                  <w:bottom w:w="0" w:type="dxa"/>
                  <w:right w:w="10" w:type="dxa"/>
                </w:tblCellMar>
              </w:tblPrEx>
              <w:trPr>
                <w:trHeight w:val="64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资产规模</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占产品资产净值的比例（%）</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中国光大银行北京分行大额存单20210326001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538,115,574.51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19.01</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粤财信托？瑞丰67-2号单一资金信托</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300,367,926.63</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10.61</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粤财信托·粤广盈10号单一资金信托（广州分行-珠海九洲控股集团有限公司）</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300,318,023.37</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10.61</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云南信托-金匠122号单一资金信托-立昂微可转债优先配售融资业务（王敏文）</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243,451,742.85</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8.60</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云南信托-金匠6号单一资金信托-赛轮轮胎可转债优先配售融资业务（袁仲雪）</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146,117,792.78</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5.16</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GC曹01A3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131,089,806.03</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4.63</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建信保险资管-浦江粤启2号资产支持计划第4期—万科（深圳分行）</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101,352,993.65</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3.58</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19龙城发展PPN003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90,714,782.47</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3.21</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22招金MTN001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90,361,806.16</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3.19</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22华润控股MTN003B</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81,368,330.96</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2.87</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56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r>
              <w:rPr>
                <w:rFonts w:ascii="宋体" w:hAnsi="宋体" w:eastAsia="宋体" w:cs="宋体"/>
                <w:b/>
                <w:color w:val="000000"/>
                <w:sz w:val="21"/>
              </w:rPr>
              <w:t>5.报告期间关联交易情况</w:t>
            </w: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5.1 理财产品在报告期末投资关联方发行、承销的证券的情况</w:t>
            </w:r>
          </w:p>
        </w:tc>
        <w:tc>
          <w:tcPr>
            <w:gridSpan w:val="4"/>
          </w:tcPr>
          <w:p>
            <w:pPr>
              <w:pStyle w:val="4"/>
            </w:pPr>
          </w:p>
        </w:tc>
        <w:tc>
          <w:p>
            <w:pPr>
              <w:pStyle w:val="4"/>
            </w:pPr>
          </w:p>
        </w:tc>
      </w:tr>
      <w:tr>
        <w:tblPrEx>
          <w:tblCellMar>
            <w:top w:w="0" w:type="dxa"/>
            <w:left w:w="10" w:type="dxa"/>
            <w:bottom w:w="0" w:type="dxa"/>
            <w:right w:w="10" w:type="dxa"/>
          </w:tblCellMar>
        </w:tblPrEx>
        <w:trPr>
          <w:trHeight w:val="3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3000"/>
              <w:gridCol w:w="2800"/>
              <w:gridCol w:w="31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承销商/发行人</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9K220110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18海尔金控MTN001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9K220110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20北方稀土MTN002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9K220110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21三明交建MTN001(革命老区)</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9K220110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22光穗建发ABN003优先</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57,700,000.00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9K220110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22镇国投CP001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5.2 理财产品在报告期内其他关联交易</w:t>
            </w:r>
          </w:p>
        </w:tc>
        <w:tc>
          <w:tcPr>
            <w:gridSpan w:val="4"/>
          </w:tcPr>
          <w:p>
            <w:pPr>
              <w:pStyle w:val="4"/>
            </w:pPr>
          </w:p>
        </w:tc>
        <w:tc>
          <w:p>
            <w:pPr>
              <w:pStyle w:val="4"/>
            </w:pPr>
          </w:p>
        </w:tc>
      </w:tr>
      <w:tr>
        <w:tblPrEx>
          <w:tblCellMar>
            <w:top w:w="0" w:type="dxa"/>
            <w:left w:w="10" w:type="dxa"/>
            <w:bottom w:w="0" w:type="dxa"/>
            <w:right w:w="10" w:type="dxa"/>
          </w:tblCellMar>
        </w:tblPrEx>
        <w:trPr>
          <w:trHeight w:val="18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交易标的</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交易金额（万元）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9K220110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兴业期货-兴合1号集合资产管理计划</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0.32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管理费</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兴业期货有限公司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9K220110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兴业期货-兴合4号集合资产管理计划</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1.84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管理费</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兴业期货有限公司</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2"/>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6/</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6" w:name="JR_PAGE_ANCHOR_0_7"/>
            <w:bookmarkEnd w:id="6"/>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兴银理财悦动2号ESG净值型理财产品2023年第一季度报告</w:t>
            </w: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8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9K220110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兴业信托·兴享稳健睿郡2号</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0.42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管理费</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兴业国际信托有限公司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9K220110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兴业期货-兴合3号集合资产管理计划</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0.07</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管理费</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兴业期货有限公司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9K220110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兴业期货-兴合6号集合资产管理计划</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1.39</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管理费</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兴业期货有限公司</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5.3 理财产品在报告期内中的重大关联交易</w:t>
            </w: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6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17"/>
            <w:tcMar>
              <w:top w:w="0" w:type="dxa"/>
              <w:left w:w="0" w:type="dxa"/>
              <w:bottom w:w="0" w:type="dxa"/>
              <w:right w:w="0" w:type="dxa"/>
            </w:tcMar>
            <w:vAlign w:val="center"/>
          </w:tcPr>
          <w:p>
            <w:pPr>
              <w:jc w:val="left"/>
            </w:pPr>
            <w:r>
              <w:rPr>
                <w:rFonts w:ascii="宋体" w:hAnsi="宋体" w:eastAsia="宋体" w:cs="宋体"/>
                <w:b/>
                <w:color w:val="000000"/>
                <w:sz w:val="21"/>
              </w:rPr>
              <w:t>6.投资账户信息</w:t>
            </w: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2"/>
          </w:tcPr>
          <w:p>
            <w:pPr>
              <w:pStyle w:val="4"/>
            </w:pPr>
          </w:p>
        </w:tc>
        <w:tc>
          <w:tcPr>
            <w:gridSpan w:val="17"/>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200"/>
              <w:gridCol w:w="3000"/>
              <w:gridCol w:w="4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账户编号</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3B4B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账户名称</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托管账户</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051010100101268496</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兴银理财悦动2号ESG净值型理财产品</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96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center"/>
          </w:tcPr>
          <w:p>
            <w:pPr>
              <w:jc w:val="right"/>
            </w:pPr>
            <w:r>
              <w:rPr>
                <w:rFonts w:ascii="宋体" w:hAnsi="宋体" w:eastAsia="宋体" w:cs="宋体"/>
                <w:color w:val="000000"/>
                <w:sz w:val="21"/>
              </w:rPr>
              <w:t>兴银理财有限责任公司</w:t>
            </w: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top"/>
          </w:tcPr>
          <w:p>
            <w:pPr>
              <w:jc w:val="right"/>
            </w:pPr>
            <w:r>
              <w:rPr>
                <w:rFonts w:ascii="宋体" w:hAnsi="宋体" w:eastAsia="宋体" w:cs="宋体"/>
                <w:color w:val="000000"/>
                <w:sz w:val="21"/>
              </w:rPr>
              <w:t>2023年4月23日</w:t>
            </w:r>
          </w:p>
        </w:tc>
        <w:tc>
          <w:tcPr>
            <w:gridSpan w:val="4"/>
          </w:tcPr>
          <w:p>
            <w:pPr>
              <w:pStyle w:val="4"/>
            </w:pPr>
          </w:p>
        </w:tc>
        <w:tc>
          <w:p>
            <w:pPr>
              <w:pStyle w:val="4"/>
            </w:pPr>
          </w:p>
        </w:tc>
      </w:tr>
      <w:tr>
        <w:tblPrEx>
          <w:tblCellMar>
            <w:top w:w="0" w:type="dxa"/>
            <w:left w:w="10" w:type="dxa"/>
            <w:bottom w:w="0" w:type="dxa"/>
            <w:right w:w="10" w:type="dxa"/>
          </w:tblCellMar>
        </w:tblPrEx>
        <w:trPr>
          <w:trHeight w:val="768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2"/>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7/</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4"/>
          </w:tcPr>
          <w:p>
            <w:pPr>
              <w:pStyle w:val="4"/>
            </w:pPr>
          </w:p>
        </w:tc>
        <w:tc>
          <w:p>
            <w:pPr>
              <w:pStyle w:val="4"/>
            </w:pPr>
          </w:p>
        </w:tc>
      </w:tr>
    </w:tbl>
    <w:p/>
    <w:sectPr>
      <w:pgSz w:w="11900" w:h="16840"/>
      <w:pgMar w:top="600" w:right="560" w:bottom="240" w:left="600" w:header="0" w:footer="0" w:gutter="0"/>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800"/>
  <w:compat>
    <w:useFELayout/>
    <w:splitPgBreakAndParaMark/>
    <w:compatSetting w:name="compatibilityMode" w:uri="http://schemas.microsoft.com/office/word" w:val="12"/>
  </w:compat>
  <w:rsids>
    <w:rsidRoot w:val="00000000"/>
    <w:rsid w:val="12E6324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sz w:val="21"/>
      <w:szCs w:val="22"/>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EMPTY_CELL_STYLE"/>
    <w:qFormat/>
    <w:uiPriority w:val="0"/>
    <w:pPr>
      <w:spacing w:line="240" w:lineRule="auto"/>
    </w:pPr>
    <w:rPr>
      <w:rFonts w:ascii="SansSerif" w:hAnsi="SansSerif" w:eastAsia="SansSerif" w:cs="SansSerif"/>
      <w:color w:val="000000"/>
      <w:sz w:val="1"/>
      <w:szCs w:val="22"/>
    </w:rPr>
  </w:style>
  <w:style w:type="paragraph" w:customStyle="1" w:styleId="5">
    <w:name w:val="Table_TH"/>
    <w:qFormat/>
    <w:uiPriority w:val="0"/>
    <w:pPr>
      <w:spacing w:line="240" w:lineRule="auto"/>
    </w:pPr>
    <w:rPr>
      <w:rFonts w:ascii="SansSerif" w:hAnsi="SansSerif" w:eastAsia="SansSerif" w:cs="SansSerif"/>
      <w:color w:val="000000"/>
      <w:sz w:val="20"/>
      <w:szCs w:val="22"/>
    </w:rPr>
  </w:style>
  <w:style w:type="paragraph" w:customStyle="1" w:styleId="6">
    <w:name w:val="Table_CH"/>
    <w:qFormat/>
    <w:uiPriority w:val="0"/>
    <w:pPr>
      <w:spacing w:line="240" w:lineRule="auto"/>
    </w:pPr>
    <w:rPr>
      <w:rFonts w:ascii="SansSerif" w:hAnsi="SansSerif" w:eastAsia="SansSerif" w:cs="SansSerif"/>
      <w:color w:val="000000"/>
      <w:sz w:val="20"/>
      <w:szCs w:val="22"/>
    </w:rPr>
  </w:style>
  <w:style w:type="paragraph" w:customStyle="1" w:styleId="7">
    <w:name w:val="Table_TD"/>
    <w:qFormat/>
    <w:uiPriority w:val="0"/>
    <w:pPr>
      <w:spacing w:line="240" w:lineRule="auto"/>
    </w:pPr>
    <w:rPr>
      <w:rFonts w:ascii="SansSerif" w:hAnsi="SansSerif" w:eastAsia="SansSerif" w:cs="SansSerif"/>
      <w:color w:val="000000"/>
      <w:sz w:val="20"/>
      <w:szCs w:val="22"/>
    </w:rPr>
  </w:style>
  <w:style w:type="paragraph" w:customStyle="1" w:styleId="8">
    <w:name w:val="Table_CD"/>
    <w:qFormat/>
    <w:uiPriority w:val="0"/>
    <w:pPr>
      <w:spacing w:line="240" w:lineRule="auto"/>
    </w:pPr>
    <w:rPr>
      <w:rFonts w:ascii="SansSerif" w:hAnsi="SansSerif" w:eastAsia="SansSerif" w:cs="SansSerif"/>
      <w:color w:val="000000"/>
      <w:sz w:val="20"/>
      <w:szCs w:val="22"/>
    </w:rPr>
  </w:style>
  <w:style w:type="paragraph" w:customStyle="1" w:styleId="9">
    <w:name w:val="Table 3_TH"/>
    <w:qFormat/>
    <w:uiPriority w:val="0"/>
    <w:pPr>
      <w:spacing w:line="240" w:lineRule="auto"/>
    </w:pPr>
    <w:rPr>
      <w:rFonts w:ascii="SansSerif" w:hAnsi="SansSerif" w:eastAsia="SansSerif" w:cs="SansSerif"/>
      <w:color w:val="000000"/>
      <w:sz w:val="20"/>
      <w:szCs w:val="22"/>
    </w:rPr>
  </w:style>
  <w:style w:type="paragraph" w:customStyle="1" w:styleId="10">
    <w:name w:val="Table 3_CH"/>
    <w:qFormat/>
    <w:uiPriority w:val="0"/>
    <w:pPr>
      <w:spacing w:line="240" w:lineRule="auto"/>
    </w:pPr>
    <w:rPr>
      <w:rFonts w:ascii="SansSerif" w:hAnsi="SansSerif" w:eastAsia="SansSerif" w:cs="SansSerif"/>
      <w:color w:val="000000"/>
      <w:sz w:val="20"/>
      <w:szCs w:val="22"/>
    </w:rPr>
  </w:style>
  <w:style w:type="paragraph" w:customStyle="1" w:styleId="11">
    <w:name w:val="Table 3_TD"/>
    <w:qFormat/>
    <w:uiPriority w:val="0"/>
    <w:pPr>
      <w:spacing w:line="240" w:lineRule="auto"/>
    </w:pPr>
    <w:rPr>
      <w:rFonts w:ascii="SansSerif" w:hAnsi="SansSerif" w:eastAsia="SansSerif" w:cs="SansSerif"/>
      <w:color w:val="000000"/>
      <w:sz w:val="20"/>
      <w:szCs w:val="22"/>
    </w:rPr>
  </w:style>
  <w:style w:type="paragraph" w:customStyle="1" w:styleId="12">
    <w:name w:val="Table 4_TH"/>
    <w:qFormat/>
    <w:uiPriority w:val="0"/>
    <w:pPr>
      <w:spacing w:line="240" w:lineRule="auto"/>
    </w:pPr>
    <w:rPr>
      <w:rFonts w:ascii="SansSerif" w:hAnsi="SansSerif" w:eastAsia="SansSerif" w:cs="SansSerif"/>
      <w:color w:val="000000"/>
      <w:sz w:val="20"/>
      <w:szCs w:val="22"/>
    </w:rPr>
  </w:style>
  <w:style w:type="paragraph" w:customStyle="1" w:styleId="13">
    <w:name w:val="Table 4_CH"/>
    <w:qFormat/>
    <w:uiPriority w:val="0"/>
    <w:pPr>
      <w:spacing w:line="240" w:lineRule="auto"/>
    </w:pPr>
    <w:rPr>
      <w:rFonts w:ascii="SansSerif" w:hAnsi="SansSerif" w:eastAsia="SansSerif" w:cs="SansSerif"/>
      <w:color w:val="000000"/>
      <w:sz w:val="20"/>
      <w:szCs w:val="22"/>
    </w:rPr>
  </w:style>
  <w:style w:type="paragraph" w:customStyle="1" w:styleId="14">
    <w:name w:val="Table 4_TD"/>
    <w:qFormat/>
    <w:uiPriority w:val="0"/>
    <w:pPr>
      <w:spacing w:line="240" w:lineRule="auto"/>
    </w:pPr>
    <w:rPr>
      <w:rFonts w:ascii="SansSerif" w:hAnsi="SansSerif" w:eastAsia="SansSerif" w:cs="SansSerif"/>
      <w:color w:val="000000"/>
      <w:sz w:val="20"/>
      <w:szCs w:val="22"/>
    </w:rPr>
  </w:style>
  <w:style w:type="paragraph" w:customStyle="1" w:styleId="15">
    <w:name w:val="Table 1_TH"/>
    <w:qFormat/>
    <w:uiPriority w:val="0"/>
    <w:pPr>
      <w:spacing w:line="240" w:lineRule="auto"/>
    </w:pPr>
    <w:rPr>
      <w:rFonts w:ascii="SansSerif" w:hAnsi="SansSerif" w:eastAsia="SansSerif" w:cs="SansSerif"/>
      <w:color w:val="000000"/>
      <w:sz w:val="20"/>
      <w:szCs w:val="22"/>
    </w:rPr>
  </w:style>
  <w:style w:type="paragraph" w:customStyle="1" w:styleId="16">
    <w:name w:val="Table 1_CH"/>
    <w:qFormat/>
    <w:uiPriority w:val="0"/>
    <w:pPr>
      <w:spacing w:line="240" w:lineRule="auto"/>
    </w:pPr>
    <w:rPr>
      <w:rFonts w:ascii="SansSerif" w:hAnsi="SansSerif" w:eastAsia="SansSerif" w:cs="SansSerif"/>
      <w:color w:val="000000"/>
      <w:sz w:val="20"/>
      <w:szCs w:val="22"/>
    </w:rPr>
  </w:style>
  <w:style w:type="paragraph" w:customStyle="1" w:styleId="17">
    <w:name w:val="Table 1_TD"/>
    <w:qFormat/>
    <w:uiPriority w:val="0"/>
    <w:pPr>
      <w:spacing w:line="240" w:lineRule="auto"/>
    </w:pPr>
    <w:rPr>
      <w:rFonts w:ascii="SansSerif" w:hAnsi="SansSerif" w:eastAsia="SansSerif" w:cs="SansSerif"/>
      <w:color w:val="000000"/>
      <w:sz w:val="20"/>
      <w:szCs w:val="22"/>
    </w:rPr>
  </w:style>
  <w:style w:type="paragraph" w:customStyle="1" w:styleId="18">
    <w:name w:val="Table 2_TH"/>
    <w:qFormat/>
    <w:uiPriority w:val="0"/>
    <w:pPr>
      <w:spacing w:line="240" w:lineRule="auto"/>
    </w:pPr>
    <w:rPr>
      <w:rFonts w:ascii="SansSerif" w:hAnsi="SansSerif" w:eastAsia="SansSerif" w:cs="SansSerif"/>
      <w:color w:val="000000"/>
      <w:sz w:val="20"/>
      <w:szCs w:val="22"/>
    </w:rPr>
  </w:style>
  <w:style w:type="paragraph" w:customStyle="1" w:styleId="19">
    <w:name w:val="Table 2_CH"/>
    <w:qFormat/>
    <w:uiPriority w:val="0"/>
    <w:pPr>
      <w:spacing w:line="240" w:lineRule="auto"/>
    </w:pPr>
    <w:rPr>
      <w:rFonts w:ascii="SansSerif" w:hAnsi="SansSerif" w:eastAsia="SansSerif" w:cs="SansSerif"/>
      <w:color w:val="000000"/>
      <w:sz w:val="20"/>
      <w:szCs w:val="22"/>
    </w:rPr>
  </w:style>
  <w:style w:type="paragraph" w:customStyle="1" w:styleId="20">
    <w:name w:val="Table 2_TD"/>
    <w:qFormat/>
    <w:uiPriority w:val="0"/>
    <w:pPr>
      <w:spacing w:line="240" w:lineRule="auto"/>
    </w:pPr>
    <w:rPr>
      <w:rFonts w:ascii="SansSerif" w:hAnsi="SansSerif" w:eastAsia="SansSerif" w:cs="SansSerif"/>
      <w:color w:val="000000"/>
      <w:sz w:val="20"/>
      <w:szCs w:val="22"/>
    </w:rPr>
  </w:style>
  <w:style w:type="paragraph" w:customStyle="1" w:styleId="21">
    <w:name w:val="Table 5_TH"/>
    <w:qFormat/>
    <w:uiPriority w:val="0"/>
    <w:pPr>
      <w:spacing w:line="240" w:lineRule="auto"/>
    </w:pPr>
    <w:rPr>
      <w:rFonts w:ascii="SansSerif" w:hAnsi="SansSerif" w:eastAsia="SansSerif" w:cs="SansSerif"/>
      <w:color w:val="000000"/>
      <w:sz w:val="20"/>
      <w:szCs w:val="22"/>
    </w:rPr>
  </w:style>
  <w:style w:type="paragraph" w:customStyle="1" w:styleId="22">
    <w:name w:val="Table 5_CH"/>
    <w:qFormat/>
    <w:uiPriority w:val="0"/>
    <w:pPr>
      <w:spacing w:line="240" w:lineRule="auto"/>
    </w:pPr>
    <w:rPr>
      <w:rFonts w:ascii="SansSerif" w:hAnsi="SansSerif" w:eastAsia="SansSerif" w:cs="SansSerif"/>
      <w:color w:val="000000"/>
      <w:sz w:val="20"/>
      <w:szCs w:val="22"/>
    </w:rPr>
  </w:style>
  <w:style w:type="paragraph" w:customStyle="1" w:styleId="23">
    <w:name w:val="Table 5_TD"/>
    <w:qFormat/>
    <w:uiPriority w:val="0"/>
    <w:pPr>
      <w:spacing w:line="240" w:lineRule="auto"/>
    </w:pPr>
    <w:rPr>
      <w:rFonts w:ascii="SansSerif" w:hAnsi="SansSerif" w:eastAsia="SansSerif" w:cs="SansSerif"/>
      <w:color w:val="000000"/>
      <w:sz w:val="20"/>
      <w:szCs w:val="22"/>
    </w:rPr>
  </w:style>
  <w:style w:type="paragraph" w:customStyle="1" w:styleId="24">
    <w:name w:val="Table 6_TH"/>
    <w:qFormat/>
    <w:uiPriority w:val="0"/>
    <w:pPr>
      <w:spacing w:line="240" w:lineRule="auto"/>
    </w:pPr>
    <w:rPr>
      <w:rFonts w:ascii="SansSerif" w:hAnsi="SansSerif" w:eastAsia="SansSerif" w:cs="SansSerif"/>
      <w:color w:val="000000"/>
      <w:sz w:val="20"/>
      <w:szCs w:val="22"/>
    </w:rPr>
  </w:style>
  <w:style w:type="paragraph" w:customStyle="1" w:styleId="25">
    <w:name w:val="Table 6_CH"/>
    <w:qFormat/>
    <w:uiPriority w:val="0"/>
    <w:pPr>
      <w:spacing w:line="240" w:lineRule="auto"/>
    </w:pPr>
    <w:rPr>
      <w:rFonts w:ascii="SansSerif" w:hAnsi="SansSerif" w:eastAsia="SansSerif" w:cs="SansSerif"/>
      <w:color w:val="000000"/>
      <w:sz w:val="20"/>
      <w:szCs w:val="22"/>
    </w:rPr>
  </w:style>
  <w:style w:type="paragraph" w:customStyle="1" w:styleId="26">
    <w:name w:val="Table 6_TD"/>
    <w:qFormat/>
    <w:uiPriority w:val="0"/>
    <w:pPr>
      <w:spacing w:line="240" w:lineRule="auto"/>
    </w:pPr>
    <w:rPr>
      <w:rFonts w:ascii="SansSerif" w:hAnsi="SansSerif" w:eastAsia="SansSerif" w:cs="SansSerif"/>
      <w:color w:val="000000"/>
      <w:sz w:val="20"/>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Office_11.8.2.8959_F1E327BC-269C-435d-A152-05C5408002CA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2023-04-21T02:04:20Z</dcterms:created>
  <dc:creator>cib</dc:creator>
  <cp:lastModifiedBy>cib</cp:lastModifiedBy>
  <dcterms:modified xsi:type="dcterms:W3CDTF">2023-04-21T02:12:53Z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ies>
</file>