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兴银理财增盈稳享封闭式20号固收类理财产品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1,945,911,522.06份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4.95%/4.95%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产品9K240200自成立日以来，累计净值增长率为1.6180%，年化累计净值增长率为2.1475%。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1,977,392,811.33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+3%以内权益的固收类产品。产品四季度出现了较大调整，主要是信用债出现了大幅且快速的下跌。一季度产品运行较为稳健，目前随着债券价格的反弹，产品收益较为稳定。组合在债券调整前的债券久期达到1.8年，杠杆150%。展望后市，目前市场仍然处于复苏的初期。利率大概率在一季度数据公布后下行明显，反映了短期内经济回暖节奏偏慢。产品配置角度上，债券以1.5年高收益信用债为主，权益择机进行操作，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202,463,078.62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190,342,763.29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青租16A2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144,403,294.68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92,953,955.56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85,551,840.65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85,475,345.62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80,227,278.17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73,856,021.00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60,941,970.71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60,352,849.31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22兴蓉环境MTN001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23龙岩投资SCP002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兴银理财增盈稳享封闭式20号固收类理财产品2023年第一季度报告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