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兴银理财金雪球稳添利短债1号净值型理财产品2023年第一季度报告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兴银理财金雪球稳添利短债1号净值型理财产品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兴银理财金雪球稳添利短债1号净值型理财产品2023年第一季度报告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兴银理财金雪球稳添利短债1号净值型理财产品2023年第一季度报告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兴银理财金雪球稳添利短债1号净值型理财产品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9K811000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4,597,325,484.75份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产品9K811000自成立日以来，累计净值增长率为4.5530%，年化累计净值增长率为3.0270%。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兴银理财金雪球稳添利短债1号净值型理财产品2023年第一季度报告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1.04553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1.04553</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4,806,629,885.51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一、2023年一季度市场回顾与产品投资策略</w:t>
              <w:br/>
              <w:t xml:space="preserve">1、市场回顾</w:t>
              <w:b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b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b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b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br/>
              <w:br/>
              <w:t xml:space="preserve">2、产品运作</w:t>
              <w:b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br/>
              <w:br/>
              <w:t xml:space="preserve">二、2023年二季度展望与投资策略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兴银理财金雪球稳添利短债1号净值型理财产品2023年第一季度报告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1、2023年二季度展望</w:t>
              <w:b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br/>
              <w:t xml:space="preserve">2、投资策略</w:t>
              <w:b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兴银理财金雪球稳添利短债1号净值型理财产品2023年第一季度报告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1,025,594,881.02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616,890,243.90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537,900,694.16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中国工商银行铜仁分行大额存单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518,502,720.32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368,179,368.27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上海银行大额存单20210315001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300,467,770.45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Z存放同业（线上）20220812001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253,409,561.20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Z存放同业（线上）20220531004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204,022,795.25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175,413,311.64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141,676,484.66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兴银理财金雪球稳添利短债1号净值型理财产品2023年第一季度报告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20国电MTN001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20江北新区MTN002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22荆州城发CP001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22桐乡城投SCP005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22吴中国太SCP007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22溧水城建CP001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23金华金投SCP001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9K811000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23南通经开PPN001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兴银理财金雪球稳添利短债1号净值型理财产品2023年第一季度报告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051010100101273717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兴银理财金雪球稳添利短债1号净值型理财产品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