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兴银理财稳添利周盈3号(7天最短持有期)日开固收类理财产品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兴银理财稳添利周盈3号(7天最短持有期)日开固收类理财产品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Z7002022000076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7,095,966,919.69份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2.40%--4.00%/--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稳添利周盈3号A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3,966,296,818.38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稳添利周盈3号B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3,129,670,101.31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产品9K91013A自成立日以来，累计净值增长率为1.0790%，年化累计净值增长率为2.9391%。</w:t>
            </w:r>
            <w:r>
              <w:rPr>
                <w:rFonts w:ascii="宋体" w:hAnsi="宋体" w:eastAsia="宋体" w:cs="宋体"/>
                <w:color w:val="000000"/>
                <w:sz w:val="21"/>
              </w:rPr>
              <w:br w:type="textWrapping"/>
            </w:r>
            <w:r>
              <w:rPr>
                <w:rFonts w:ascii="宋体" w:hAnsi="宋体" w:eastAsia="宋体" w:cs="宋体"/>
                <w:color w:val="000000"/>
                <w:sz w:val="21"/>
              </w:rPr>
              <w:t>产品9K91013B自成立日以来，累计净值增长率为1.0990%，年化累计净值增长率为2.9935%。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7,173,155,618.65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4,009,093,099.29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3,164,062,519.36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济目标制定较为合理，保有余地，社融、通胀、房地产、进出口等数据涨跌互现，推动市场预期进一步回归；加上</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w:t>
            </w:r>
            <w:bookmarkStart w:id="8" w:name="_GoBack"/>
            <w:bookmarkEnd w:id="8"/>
            <w:r>
              <w:rPr>
                <w:rFonts w:ascii="宋体" w:hAnsi="宋体" w:eastAsia="宋体" w:cs="宋体"/>
                <w:color w:val="000000"/>
                <w:sz w:val="21"/>
              </w:rPr>
              <w:t>财规模企稳，前期积累的欠配压力释放，海外金融风险事件的发酵也推升谨慎情绪，长债利率偏强波动，10Y国债从2.90%缓步下行至2.85%。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497,255,349.45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456,604,594.52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400,938,136.99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384,550,458.36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324,717,233.97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290,856,199.18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253,010,640.41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工行广州定期存款20230324003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250,167,123.28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212,504,983.56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212,193,864.25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20麓山投资MTN001A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20武进经发MTN001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21山东公用MTN002(绿色)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Z存放同业（线上）20221118001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051010100101368793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兴银理财稳添利周盈3号7天最短持有期日开固收类理财产品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兴银理财稳添利周盈3号(7天最短持有期)日开固收类理财产品2023年第一季度报告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E48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2023-04-20T08:33:54Z</dcterms:created>
  <dc:creator>cib</dc:creator>
  <cp:lastModifiedBy>cib</cp:lastModifiedBy>
  <dcterms:modified xsi:type="dcterms:W3CDTF">2023-04-20T08:38:25Z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