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兴银理财睿利稳健十四个月定期开放3号增强型固收类理财产品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兴银理财睿利稳健十四个月定期开放3号增强型固收类理财产品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32,009,262.61份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32,009,262.61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产品9K91903A自成立日以来，累计净值增长率为0.9920%，年化累计净值增长率为2.4301%。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32,326,699.33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32,326,699.33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8,085,514.48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7,084,069.13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6,082,266.50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2,075,371.97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2,008,194.10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354,574.56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华泰柏瑞红利ETF ( 510880.SH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301,265.40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国泰中证全指家电ETF(159996.SZ)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251,089.60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国联安中证全指半导体ETF 512480.SH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215,623.90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