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0" w:type="auto"/>
        <w:tblInd w:w="0" w:type="dxa"/>
        <w:tblLayout w:type="fixed"/>
        <w:tblCellMar>
          <w:top w:w="0" w:type="dxa"/>
          <w:left w:w="10" w:type="dxa"/>
          <w:bottom w:w="0" w:type="dxa"/>
          <w:right w:w="10" w:type="dxa"/>
        </w:tblCellMar>
      </w:tblPr>
      <w:tblGrid>
        <w:gridCol w:w="1"/>
        <w:gridCol w:w="20"/>
        <w:gridCol w:w="20"/>
        <w:gridCol w:w="60"/>
        <w:gridCol w:w="100"/>
        <w:gridCol w:w="2820"/>
        <w:gridCol w:w="380"/>
        <w:gridCol w:w="740"/>
        <w:gridCol w:w="260"/>
        <w:gridCol w:w="1000"/>
        <w:gridCol w:w="1000"/>
        <w:gridCol w:w="1000"/>
        <w:gridCol w:w="2620"/>
        <w:gridCol w:w="220"/>
        <w:gridCol w:w="260"/>
        <w:gridCol w:w="200"/>
        <w:gridCol w:w="1"/>
        <w:gridCol w:w="19"/>
        <w:gridCol w:w="1"/>
        <w:gridCol w:w="19"/>
        <w:gridCol w:w="1"/>
      </w:tblGrid>
      <w:tr>
        <w:tblPrEx>
          <w:tblCellMar>
            <w:top w:w="0" w:type="dxa"/>
            <w:left w:w="10" w:type="dxa"/>
            <w:bottom w:w="0" w:type="dxa"/>
            <w:right w:w="10" w:type="dxa"/>
          </w:tblCellMar>
        </w:tblPrEx>
        <w:trPr>
          <w:gridAfter w:val="4"/>
          <w:wAfter w:w="40" w:type="dxa"/>
          <w:trHeight w:val="400" w:hRule="atLeast"/>
        </w:trPr>
        <w:tc>
          <w:p>
            <w:pPr>
              <w:pStyle w:val="4"/>
            </w:pPr>
            <w:bookmarkStart w:id="0" w:name="JR_PAGE_ANCHOR_0_1"/>
            <w:bookmarkEnd w:id="0"/>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兴银理财天天万利宝稳利恒盈7号U款净值型理财产品2023年第一季度报告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96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3020" w:hRule="atLeast"/>
        </w:trPr>
        <w:tc>
          <w:p>
            <w:pPr>
              <w:pStyle w:val="4"/>
            </w:pPr>
          </w:p>
        </w:tc>
        <w:tc>
          <w:tcPr>
            <w:gridSpan w:val="15"/>
            <w:tcMar>
              <w:top w:w="0" w:type="dxa"/>
              <w:left w:w="0" w:type="dxa"/>
              <w:bottom w:w="0" w:type="dxa"/>
              <w:right w:w="0" w:type="dxa"/>
            </w:tcMar>
            <w:vAlign w:val="center"/>
          </w:tcPr>
          <w:p>
            <w:pPr>
              <w:spacing w:before="0" w:after="0" w:line="360" w:lineRule="auto"/>
              <w:jc w:val="center"/>
            </w:pPr>
            <w:r>
              <w:rPr>
                <w:rFonts w:ascii="宋体" w:hAnsi="宋体" w:eastAsia="宋体" w:cs="宋体"/>
                <w:b/>
                <w:color w:val="000000"/>
                <w:sz w:val="32"/>
              </w:rPr>
              <w:t>兴银理财天天万利宝稳利恒盈7号U款净值型理财产品</w:t>
            </w:r>
            <w:r>
              <w:rPr>
                <w:rFonts w:ascii="宋体" w:hAnsi="宋体" w:eastAsia="宋体" w:cs="宋体"/>
                <w:b/>
                <w:color w:val="000000"/>
                <w:sz w:val="32"/>
              </w:rPr>
              <w:br w:type="textWrapping"/>
            </w:r>
            <w:r>
              <w:rPr>
                <w:rFonts w:ascii="宋体" w:hAnsi="宋体" w:eastAsia="宋体" w:cs="宋体"/>
                <w:b/>
                <w:color w:val="000000"/>
                <w:sz w:val="32"/>
              </w:rPr>
              <w:t>2023年第一季度报告</w:t>
            </w:r>
          </w:p>
        </w:tc>
        <w:tc>
          <w:p>
            <w:pPr>
              <w:pStyle w:val="4"/>
            </w:pPr>
          </w:p>
        </w:tc>
      </w:tr>
      <w:tr>
        <w:tblPrEx>
          <w:tblCellMar>
            <w:top w:w="0" w:type="dxa"/>
            <w:left w:w="10" w:type="dxa"/>
            <w:bottom w:w="0" w:type="dxa"/>
            <w:right w:w="10" w:type="dxa"/>
          </w:tblCellMar>
        </w:tblPrEx>
        <w:trPr>
          <w:gridAfter w:val="4"/>
          <w:wAfter w:w="40" w:type="dxa"/>
          <w:trHeight w:val="660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理财产品管理人：兴银理财有限责任公司</w:t>
            </w: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理财产品托管人：兴业银行股份有限公司</w:t>
            </w: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报告送出日期：2023年4月23日</w:t>
            </w: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27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5"/>
          </w:tcPr>
          <w:p>
            <w:pPr>
              <w:pStyle w:val="4"/>
            </w:pPr>
          </w:p>
        </w:tc>
        <w:tc>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1/</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0" w:hRule="atLeast"/>
        </w:trPr>
        <w:tc>
          <w:p>
            <w:pPr>
              <w:pStyle w:val="4"/>
              <w:pageBreakBefore/>
            </w:pPr>
            <w:bookmarkStart w:id="1" w:name="JR_PAGE_ANCHOR_0_2"/>
            <w:bookmarkEnd w:id="1"/>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兴银理财天天万利宝稳利恒盈7号U款净值型理财产品2023年第一季度报告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8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3"/>
          </w:tcPr>
          <w:p>
            <w:pPr>
              <w:pStyle w:val="4"/>
            </w:pPr>
          </w:p>
        </w:tc>
        <w:tc>
          <w:tcPr>
            <w:gridSpan w:val="3"/>
          </w:tcPr>
          <w:p>
            <w:pPr>
              <w:pStyle w:val="4"/>
            </w:pPr>
          </w:p>
        </w:tc>
        <w:tc>
          <w:tcPr>
            <w:gridSpan w:val="2"/>
          </w:tcPr>
          <w:p>
            <w:pPr>
              <w:pStyle w:val="4"/>
            </w:pPr>
          </w:p>
        </w:tc>
        <w:tc>
          <w:tcPr>
            <w:gridSpan w:val="2"/>
            <w:tcMar>
              <w:top w:w="0" w:type="dxa"/>
              <w:left w:w="0" w:type="dxa"/>
              <w:bottom w:w="0" w:type="dxa"/>
              <w:right w:w="0" w:type="dxa"/>
            </w:tcMar>
            <w:vAlign w:val="top"/>
          </w:tcPr>
          <w:p>
            <w:pPr>
              <w:jc w:val="center"/>
            </w:pPr>
            <w:r>
              <w:rPr>
                <w:rFonts w:ascii="宋体" w:hAnsi="宋体" w:eastAsia="宋体" w:cs="宋体"/>
                <w:b/>
                <w:color w:val="000000"/>
                <w:sz w:val="30"/>
              </w:rPr>
              <w:t>目  录</w:t>
            </w: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4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6840" w:hRule="atLeast"/>
        </w:trPr>
        <w:tc>
          <w:p>
            <w:pPr>
              <w:pStyle w:val="4"/>
            </w:pPr>
          </w:p>
        </w:tc>
        <w:tc>
          <w:tcPr>
            <w:gridSpan w:val="3"/>
          </w:tcPr>
          <w:p>
            <w:pPr>
              <w:pStyle w:val="4"/>
            </w:pPr>
          </w:p>
        </w:tc>
        <w:tc>
          <w:tcPr>
            <w:gridSpan w:val="11"/>
            <w:tcMar>
              <w:top w:w="0" w:type="dxa"/>
              <w:left w:w="0" w:type="dxa"/>
              <w:bottom w:w="0" w:type="dxa"/>
              <w:right w:w="0" w:type="dxa"/>
            </w:tcMar>
            <w:vAlign w:val="top"/>
          </w:tcPr>
          <w:p>
            <w:pPr>
              <w:spacing w:before="0" w:after="0" w:line="336" w:lineRule="auto"/>
              <w:jc w:val="left"/>
            </w:pPr>
            <w:r>
              <w:rPr>
                <w:rFonts w:ascii="宋体" w:hAnsi="宋体" w:eastAsia="宋体" w:cs="宋体"/>
                <w:color w:val="000000"/>
                <w:sz w:val="21"/>
              </w:rPr>
              <w:t>§ 一. 重要提示</w:t>
            </w:r>
            <w:r>
              <w:rPr>
                <w:rFonts w:ascii="宋体" w:hAnsi="宋体" w:eastAsia="宋体" w:cs="宋体"/>
                <w:color w:val="000000"/>
                <w:sz w:val="21"/>
              </w:rPr>
              <w:br w:type="textWrapping"/>
            </w:r>
            <w:r>
              <w:rPr>
                <w:rFonts w:ascii="宋体" w:hAnsi="宋体" w:eastAsia="宋体" w:cs="宋体"/>
                <w:color w:val="000000"/>
                <w:sz w:val="21"/>
              </w:rPr>
              <w:t>§ 二. 产品基本信息</w:t>
            </w:r>
            <w:r>
              <w:rPr>
                <w:rFonts w:ascii="宋体" w:hAnsi="宋体" w:eastAsia="宋体" w:cs="宋体"/>
                <w:color w:val="000000"/>
                <w:sz w:val="21"/>
              </w:rPr>
              <w:br w:type="textWrapping"/>
            </w:r>
            <w:r>
              <w:rPr>
                <w:rFonts w:ascii="宋体" w:hAnsi="宋体" w:eastAsia="宋体" w:cs="宋体"/>
                <w:color w:val="000000"/>
                <w:sz w:val="21"/>
              </w:rPr>
              <w:t>§ 三. 产品收益表现</w:t>
            </w:r>
            <w:r>
              <w:rPr>
                <w:rFonts w:ascii="宋体" w:hAnsi="宋体" w:eastAsia="宋体" w:cs="宋体"/>
                <w:color w:val="000000"/>
                <w:sz w:val="21"/>
              </w:rPr>
              <w:br w:type="textWrapping"/>
            </w:r>
            <w:r>
              <w:rPr>
                <w:rFonts w:ascii="宋体" w:hAnsi="宋体" w:eastAsia="宋体" w:cs="宋体"/>
                <w:color w:val="000000"/>
                <w:sz w:val="21"/>
              </w:rPr>
              <w:t>§ 四. 产品投资经理简介</w:t>
            </w:r>
            <w:r>
              <w:rPr>
                <w:rFonts w:ascii="宋体" w:hAnsi="宋体" w:eastAsia="宋体" w:cs="宋体"/>
                <w:color w:val="000000"/>
                <w:sz w:val="21"/>
              </w:rPr>
              <w:br w:type="textWrapping"/>
            </w:r>
            <w:r>
              <w:rPr>
                <w:rFonts w:ascii="宋体" w:hAnsi="宋体" w:eastAsia="宋体" w:cs="宋体"/>
                <w:color w:val="000000"/>
                <w:sz w:val="21"/>
              </w:rPr>
              <w:t>§ 五. 报告期内产品投资策略</w:t>
            </w:r>
            <w:r>
              <w:rPr>
                <w:rFonts w:ascii="宋体" w:hAnsi="宋体" w:eastAsia="宋体" w:cs="宋体"/>
                <w:color w:val="000000"/>
                <w:sz w:val="21"/>
              </w:rPr>
              <w:br w:type="textWrapping"/>
            </w:r>
            <w:r>
              <w:rPr>
                <w:rFonts w:ascii="宋体" w:hAnsi="宋体" w:eastAsia="宋体" w:cs="宋体"/>
                <w:color w:val="000000"/>
                <w:sz w:val="21"/>
              </w:rPr>
              <w:t>§ 六. 投资组合情况</w:t>
            </w:r>
            <w:r>
              <w:rPr>
                <w:rFonts w:ascii="宋体" w:hAnsi="宋体" w:eastAsia="宋体" w:cs="宋体"/>
                <w:color w:val="000000"/>
                <w:sz w:val="21"/>
              </w:rPr>
              <w:br w:type="textWrapping"/>
            </w:r>
            <w:r>
              <w:rPr>
                <w:rFonts w:ascii="宋体" w:hAnsi="宋体" w:eastAsia="宋体" w:cs="宋体"/>
                <w:color w:val="000000"/>
                <w:sz w:val="21"/>
              </w:rPr>
              <w:t xml:space="preserve">     1. 报告期末资产组合情况</w:t>
            </w:r>
            <w:r>
              <w:rPr>
                <w:rFonts w:ascii="宋体" w:hAnsi="宋体" w:eastAsia="宋体" w:cs="宋体"/>
                <w:color w:val="000000"/>
                <w:sz w:val="21"/>
              </w:rPr>
              <w:br w:type="textWrapping"/>
            </w:r>
            <w:r>
              <w:rPr>
                <w:rFonts w:ascii="宋体" w:hAnsi="宋体" w:eastAsia="宋体" w:cs="宋体"/>
                <w:color w:val="000000"/>
                <w:sz w:val="21"/>
              </w:rPr>
              <w:t xml:space="preserve">     2. 报告期末杠杆融资情况</w:t>
            </w:r>
            <w:r>
              <w:rPr>
                <w:rFonts w:ascii="宋体" w:hAnsi="宋体" w:eastAsia="宋体" w:cs="宋体"/>
                <w:color w:val="000000"/>
                <w:sz w:val="21"/>
              </w:rPr>
              <w:br w:type="textWrapping"/>
            </w:r>
            <w:r>
              <w:rPr>
                <w:rFonts w:ascii="宋体" w:hAnsi="宋体" w:eastAsia="宋体" w:cs="宋体"/>
                <w:color w:val="000000"/>
                <w:sz w:val="21"/>
              </w:rPr>
              <w:t xml:space="preserve">     3. 投资组合的流动性风险分析</w:t>
            </w:r>
            <w:r>
              <w:rPr>
                <w:rFonts w:ascii="宋体" w:hAnsi="宋体" w:eastAsia="宋体" w:cs="宋体"/>
                <w:color w:val="000000"/>
                <w:sz w:val="21"/>
              </w:rPr>
              <w:br w:type="textWrapping"/>
            </w:r>
            <w:r>
              <w:rPr>
                <w:rFonts w:ascii="宋体" w:hAnsi="宋体" w:eastAsia="宋体" w:cs="宋体"/>
                <w:color w:val="000000"/>
                <w:sz w:val="21"/>
              </w:rPr>
              <w:t xml:space="preserve">     4. 报告期末资产持仓前十基本信息</w:t>
            </w:r>
            <w:r>
              <w:rPr>
                <w:rFonts w:ascii="宋体" w:hAnsi="宋体" w:eastAsia="宋体" w:cs="宋体"/>
                <w:color w:val="000000"/>
                <w:sz w:val="21"/>
              </w:rPr>
              <w:br w:type="textWrapping"/>
            </w:r>
            <w:r>
              <w:rPr>
                <w:rFonts w:ascii="宋体" w:hAnsi="宋体" w:eastAsia="宋体" w:cs="宋体"/>
                <w:color w:val="000000"/>
                <w:sz w:val="21"/>
              </w:rPr>
              <w:t xml:space="preserve">     5. 报告期间关联交易情况</w:t>
            </w:r>
            <w:r>
              <w:rPr>
                <w:rFonts w:ascii="宋体" w:hAnsi="宋体" w:eastAsia="宋体" w:cs="宋体"/>
                <w:color w:val="000000"/>
                <w:sz w:val="21"/>
              </w:rPr>
              <w:br w:type="textWrapping"/>
            </w:r>
            <w:r>
              <w:rPr>
                <w:rFonts w:ascii="宋体" w:hAnsi="宋体" w:eastAsia="宋体" w:cs="宋体"/>
                <w:color w:val="000000"/>
                <w:sz w:val="21"/>
              </w:rPr>
              <w:t xml:space="preserve">     6. 投资账户信息</w:t>
            </w:r>
          </w:p>
        </w:tc>
        <w:tc>
          <w:p>
            <w:pPr>
              <w:pStyle w:val="4"/>
            </w:pPr>
          </w:p>
        </w:tc>
        <w:tc>
          <w:p>
            <w:pPr>
              <w:pStyle w:val="4"/>
            </w:pPr>
          </w:p>
        </w:tc>
      </w:tr>
      <w:tr>
        <w:tblPrEx>
          <w:tblCellMar>
            <w:top w:w="0" w:type="dxa"/>
            <w:left w:w="10" w:type="dxa"/>
            <w:bottom w:w="0" w:type="dxa"/>
            <w:right w:w="10" w:type="dxa"/>
          </w:tblCellMar>
        </w:tblPrEx>
        <w:trPr>
          <w:gridAfter w:val="4"/>
          <w:wAfter w:w="40" w:type="dxa"/>
          <w:trHeight w:val="608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3"/>
          </w:tcPr>
          <w:p>
            <w:pPr>
              <w:pStyle w:val="4"/>
            </w:pPr>
          </w:p>
        </w:tc>
        <w:tc>
          <w:tcPr>
            <w:gridSpan w:val="3"/>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2/</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4"/>
          <w:wAfter w:w="40" w:type="dxa"/>
          <w:trHeight w:val="0" w:hRule="atLeast"/>
        </w:trPr>
        <w:tc>
          <w:p>
            <w:pPr>
              <w:pStyle w:val="4"/>
              <w:pageBreakBefore/>
            </w:pPr>
            <w:bookmarkStart w:id="2" w:name="JR_PAGE_ANCHOR_0_3"/>
            <w:bookmarkEnd w:id="2"/>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兴银理财天天万利宝稳利恒盈7号U款净值型理财产品2023年第一季度报告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6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一. 重要提示</w:t>
            </w:r>
          </w:p>
        </w:tc>
        <w:tc>
          <w:p>
            <w:pPr>
              <w:pStyle w:val="4"/>
            </w:pPr>
          </w:p>
        </w:tc>
      </w:tr>
      <w:tr>
        <w:tblPrEx>
          <w:tblCellMar>
            <w:top w:w="0" w:type="dxa"/>
            <w:left w:w="10" w:type="dxa"/>
            <w:bottom w:w="0" w:type="dxa"/>
            <w:right w:w="10" w:type="dxa"/>
          </w:tblCellMar>
        </w:tblPrEx>
        <w:trPr>
          <w:gridAfter w:val="4"/>
          <w:wAfter w:w="40" w:type="dxa"/>
          <w:trHeight w:val="2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3080" w:hRule="atLeast"/>
        </w:trPr>
        <w:tc>
          <w:p>
            <w:pPr>
              <w:pStyle w:val="4"/>
            </w:pPr>
          </w:p>
        </w:tc>
        <w:tc>
          <w:tcPr>
            <w:gridSpan w:val="15"/>
            <w:tcBorders>
              <w:top w:val="dotted" w:color="000000" w:sz="8" w:space="0"/>
              <w:left w:val="dotted" w:color="000000" w:sz="8" w:space="0"/>
              <w:bottom w:val="dotted" w:color="000000" w:sz="8" w:space="0"/>
              <w:right w:val="dotted" w:color="000000" w:sz="8" w:space="0"/>
            </w:tcBorders>
            <w:tcMar>
              <w:top w:w="0" w:type="dxa"/>
              <w:left w:w="0" w:type="dxa"/>
              <w:bottom w:w="0" w:type="dxa"/>
              <w:right w:w="0" w:type="dxa"/>
            </w:tcMar>
            <w:vAlign w:val="top"/>
          </w:tcPr>
          <w:p>
            <w:pPr>
              <w:spacing w:before="0" w:after="0" w:line="360" w:lineRule="auto"/>
              <w:jc w:val="left"/>
            </w:pPr>
            <w:r>
              <w:rPr>
                <w:rFonts w:ascii="仿宋" w:hAnsi="仿宋" w:eastAsia="仿宋" w:cs="仿宋"/>
                <w:color w:val="000000"/>
                <w:sz w:val="21"/>
              </w:rPr>
              <w:br w:type="textWrapping"/>
            </w:r>
            <w:r>
              <w:rPr>
                <w:rFonts w:ascii="仿宋" w:hAnsi="仿宋" w:eastAsia="仿宋" w:cs="仿宋"/>
                <w:color w:val="000000"/>
                <w:sz w:val="21"/>
              </w:rPr>
              <w:t xml:space="preserve"> 1. 温馨提醒：理财非存款，产品有风险，投资需谨慎！</w:t>
            </w:r>
            <w:r>
              <w:rPr>
                <w:rFonts w:ascii="仿宋" w:hAnsi="仿宋" w:eastAsia="仿宋" w:cs="仿宋"/>
                <w:color w:val="000000"/>
                <w:sz w:val="21"/>
              </w:rPr>
              <w:br w:type="textWrapping"/>
            </w:r>
            <w:r>
              <w:rPr>
                <w:rFonts w:ascii="仿宋" w:hAnsi="仿宋" w:eastAsia="仿宋" w:cs="仿宋"/>
                <w:color w:val="000000"/>
                <w:sz w:val="21"/>
              </w:rPr>
              <w:t xml:space="preserve"> 2. 理财信息可供参考，详情请咨询理财经理，或在“中国理财网（www.chinawealth.com.cn）”查询该产品相关信息。</w:t>
            </w:r>
            <w:r>
              <w:rPr>
                <w:rFonts w:ascii="仿宋" w:hAnsi="仿宋" w:eastAsia="仿宋" w:cs="仿宋"/>
                <w:color w:val="000000"/>
                <w:sz w:val="21"/>
              </w:rPr>
              <w:br w:type="textWrapping"/>
            </w:r>
            <w:r>
              <w:rPr>
                <w:rFonts w:ascii="仿宋" w:hAnsi="仿宋" w:eastAsia="仿宋" w:cs="仿宋"/>
                <w:color w:val="000000"/>
                <w:sz w:val="21"/>
              </w:rPr>
              <w:t xml:space="preserve"> 3. 兴银理财有限责任公司保留对所有文字说明的最终解释权。</w:t>
            </w:r>
            <w:r>
              <w:rPr>
                <w:rFonts w:ascii="仿宋" w:hAnsi="仿宋" w:eastAsia="仿宋" w:cs="仿宋"/>
                <w:color w:val="000000"/>
                <w:sz w:val="21"/>
              </w:rPr>
              <w:br w:type="textWrapping"/>
            </w:r>
            <w:r>
              <w:rPr>
                <w:rFonts w:ascii="仿宋" w:hAnsi="仿宋" w:eastAsia="仿宋" w:cs="仿宋"/>
                <w:color w:val="000000"/>
                <w:sz w:val="21"/>
              </w:rPr>
              <w:t xml:space="preserve"> 4. 投资组合情况（期末资产组合情况、杠杆比例、资产前十持仓等）详情请理财持有人登录网银后进行查询。</w:t>
            </w:r>
            <w:r>
              <w:rPr>
                <w:rFonts w:ascii="仿宋" w:hAnsi="仿宋" w:eastAsia="仿宋" w:cs="仿宋"/>
                <w:color w:val="000000"/>
                <w:sz w:val="21"/>
              </w:rPr>
              <w:br w:type="textWrapping"/>
            </w:r>
          </w:p>
        </w:tc>
        <w:tc>
          <w:p>
            <w:pPr>
              <w:pStyle w:val="4"/>
            </w:pPr>
          </w:p>
        </w:tc>
      </w:tr>
      <w:tr>
        <w:tblPrEx>
          <w:tblCellMar>
            <w:top w:w="0" w:type="dxa"/>
            <w:left w:w="10" w:type="dxa"/>
            <w:bottom w:w="0" w:type="dxa"/>
            <w:right w:w="10" w:type="dxa"/>
          </w:tblCellMar>
        </w:tblPrEx>
        <w:trPr>
          <w:gridAfter w:val="4"/>
          <w:wAfter w:w="40" w:type="dxa"/>
          <w:trHeight w:val="6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二. 产品基本情况</w:t>
            </w:r>
          </w:p>
        </w:tc>
        <w:tc>
          <w:p>
            <w:pPr>
              <w:pStyle w:val="4"/>
            </w:pPr>
          </w:p>
        </w:tc>
      </w:tr>
      <w:tr>
        <w:tblPrEx>
          <w:tblCellMar>
            <w:top w:w="0" w:type="dxa"/>
            <w:left w:w="10" w:type="dxa"/>
            <w:bottom w:w="0" w:type="dxa"/>
            <w:right w:w="10" w:type="dxa"/>
          </w:tblCellMar>
        </w:tblPrEx>
        <w:trPr>
          <w:gridAfter w:val="4"/>
          <w:wAfter w:w="40" w:type="dxa"/>
          <w:trHeight w:val="2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产品名称</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兴银理财天天万利宝稳利恒盈7号U款净值型理财产品</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产品代码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9N212370</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全国银行业理财信息登记系统登记编码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Z7002022000193</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产品运作方式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开放式</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产品募集方式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公募</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投资类型</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固定收益类</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报告期末产品份额总额</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1,703,066,582.41份</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业绩比较基准/业绩报酬计提基准</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4.40%--4.90%/4.90%</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投资币种</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人民币</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风险等级</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R2</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产品管理人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兴银理财有限责任公司</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产品托管人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兴业银行股份有限公司</w:t>
            </w:r>
          </w:p>
        </w:tc>
        <w:tc>
          <w:p>
            <w:pPr>
              <w:pStyle w:val="4"/>
            </w:pPr>
          </w:p>
        </w:tc>
      </w:tr>
      <w:tr>
        <w:tblPrEx>
          <w:tblCellMar>
            <w:top w:w="0" w:type="dxa"/>
            <w:left w:w="10" w:type="dxa"/>
            <w:bottom w:w="0" w:type="dxa"/>
            <w:right w:w="10" w:type="dxa"/>
          </w:tblCellMar>
        </w:tblPrEx>
        <w:trPr>
          <w:gridAfter w:val="4"/>
          <w:wAfter w:w="40" w:type="dxa"/>
          <w:trHeight w:val="1800" w:hRule="exact"/>
        </w:trPr>
        <w:tc>
          <w:p>
            <w:pPr>
              <w:pStyle w:val="4"/>
            </w:pPr>
          </w:p>
        </w:tc>
        <w:tc>
          <w:tcPr>
            <w:gridSpan w:val="15"/>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gridCol w:w="3600"/>
              <w:gridCol w:w="4100"/>
            </w:tblGrid>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2980"/>
                    <w:gridCol w:w="2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下属子份额的销售名称</w:t>
                        </w:r>
                      </w:p>
                    </w:tc>
                    <w:tc>
                      <w:p>
                        <w:pPr>
                          <w:pStyle w:val="4"/>
                        </w:pPr>
                      </w:p>
                    </w:tc>
                  </w:tr>
                </w:tbl>
                <w:p>
                  <w:pPr>
                    <w:pStyle w:val="4"/>
                  </w:pPr>
                </w:p>
              </w:tc>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下属子份额的销售代码</w:t>
                        </w:r>
                      </w:p>
                    </w:tc>
                  </w:tr>
                </w:tbl>
                <w:p>
                  <w:pPr>
                    <w:pStyle w:val="4"/>
                  </w:pPr>
                </w:p>
              </w:tc>
              <w:tc>
                <w:tcPr>
                  <w:tcBorders>
                    <w:top w:val="single" w:color="000000" w:sz="2" w:space="0"/>
                    <w:left w:val="single" w:color="000000" w:sz="2" w:space="0"/>
                    <w:bottom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80" w:hRule="atLeast"/>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报告期末下属子份额的产品份额总数</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稳利恒盈7号U款 2年A</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9N21237A</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558,387,085.20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稳利恒盈7号U款 2年B</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9N21237B</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1,144,679,497.21</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4"/>
          <w:wAfter w:w="40" w:type="dxa"/>
          <w:trHeight w:val="112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6"/>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3/</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3" w:name="JR_PAGE_ANCHOR_0_4"/>
            <w:bookmarkEnd w:id="3"/>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兴银理财天天万利宝稳利恒盈7号U款净值型理财产品2023年第一季度报告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三. 产品收益表现</w:t>
            </w:r>
          </w:p>
        </w:tc>
        <w:tc>
          <w:tcPr>
            <w:gridSpan w:val="4"/>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900" w:hRule="atLeast"/>
        </w:trPr>
        <w:tc>
          <w:p>
            <w:pPr>
              <w:pStyle w:val="4"/>
            </w:pPr>
          </w:p>
        </w:tc>
        <w:tc>
          <w:tcPr>
            <w:gridSpan w:val="2"/>
          </w:tcPr>
          <w:p>
            <w:pPr>
              <w:pStyle w:val="4"/>
            </w:pPr>
          </w:p>
        </w:tc>
        <w:tc>
          <w:tcPr>
            <w:gridSpan w:val="11"/>
            <w:tcMar>
              <w:top w:w="0" w:type="dxa"/>
              <w:left w:w="0" w:type="dxa"/>
              <w:bottom w:w="0" w:type="dxa"/>
              <w:right w:w="0" w:type="dxa"/>
            </w:tcMar>
            <w:vAlign w:val="center"/>
          </w:tcPr>
          <w:p>
            <w:pPr>
              <w:spacing w:before="0" w:after="0" w:line="320" w:lineRule="exact"/>
              <w:ind w:firstLine="0"/>
              <w:jc w:val="left"/>
            </w:pPr>
            <w:r>
              <w:rPr>
                <w:rFonts w:ascii="宋体" w:hAnsi="宋体" w:eastAsia="宋体" w:cs="宋体"/>
                <w:color w:val="000000"/>
                <w:sz w:val="21"/>
              </w:rPr>
              <w:t>产品9N21237A自成立日以来，累计净值增长率为3.6690%，年化累计净值增长率为4.2246%。</w:t>
            </w:r>
            <w:r>
              <w:rPr>
                <w:rFonts w:ascii="宋体" w:hAnsi="宋体" w:eastAsia="宋体" w:cs="宋体"/>
                <w:color w:val="000000"/>
                <w:sz w:val="21"/>
              </w:rPr>
              <w:br w:type="textWrapping"/>
            </w:r>
            <w:r>
              <w:rPr>
                <w:rFonts w:ascii="宋体" w:hAnsi="宋体" w:eastAsia="宋体" w:cs="宋体"/>
                <w:color w:val="000000"/>
                <w:sz w:val="21"/>
              </w:rPr>
              <w:t>产品9N21237B自成立日以来，累计净值增长率为3.7590%，年化累计净值增长率为4.3282%。</w:t>
            </w:r>
            <w:r>
              <w:rPr>
                <w:rFonts w:ascii="宋体" w:hAnsi="宋体" w:eastAsia="宋体" w:cs="宋体"/>
                <w:color w:val="000000"/>
                <w:sz w:val="21"/>
              </w:rPr>
              <w:br w:type="textWrapping"/>
            </w:r>
            <w:r>
              <w:rPr>
                <w:rFonts w:ascii="宋体" w:hAnsi="宋体" w:eastAsia="宋体" w:cs="宋体"/>
                <w:color w:val="000000"/>
                <w:sz w:val="21"/>
              </w:rPr>
              <w:t>报告期末，产品净值表现具体如下：</w:t>
            </w: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7"/>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9N212370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1.03730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1.03730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1,766,583,590.04</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1800" w:hRule="exact"/>
        </w:trPr>
        <w:tc>
          <w:p>
            <w:pPr>
              <w:pStyle w:val="4"/>
            </w:pPr>
          </w:p>
        </w:tc>
        <w:tc>
          <w:tcPr>
            <w:gridSpan w:val="2"/>
          </w:tcPr>
          <w:p>
            <w:pPr>
              <w:pStyle w:val="4"/>
            </w:pPr>
          </w:p>
        </w:tc>
        <w:tc>
          <w:tcPr>
            <w:gridSpan w:val="17"/>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销售代码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9N21237A</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1.03669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1.03669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578,871,566.32</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9N21237B</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1.03759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1.03759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1,187,712,023.72</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56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四. 产品投资经理简介</w:t>
            </w:r>
          </w:p>
        </w:tc>
        <w:tc>
          <w:tcPr>
            <w:gridSpan w:val="4"/>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56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徐佳女士，南开大学金融学硕士，北京师范大学经济学和英语双学士，拥有11年金融领域投资交易经验，具有银行间本币交易员资格。历任嘉实基金管理有限公司交易员，于2014年加入兴业银行资产管理部，任兴业银行资产管理部债券投资经理，主要负责债券投资以及固收产品投资管理工作；具有丰富的产品投资管理经验，并积累了丰富的债券投资和交易经验；目前管理逾十只净值型“稳利”系列产品，业绩优异，风格稳健。对宏观和利率走势有专业深入的研判，擅长根据负债属性制定多资产配置策略，并根据市场研判灵活运用多种投资策略。</w:t>
            </w:r>
          </w:p>
        </w:tc>
        <w:tc>
          <w:tcPr>
            <w:gridSpan w:val="4"/>
          </w:tcPr>
          <w:p>
            <w:pPr>
              <w:pStyle w:val="4"/>
            </w:pPr>
          </w:p>
        </w:tc>
        <w:tc>
          <w:p>
            <w:pPr>
              <w:pStyle w:val="4"/>
            </w:pPr>
          </w:p>
        </w:tc>
      </w:tr>
      <w:tr>
        <w:tblPrEx>
          <w:tblCellMar>
            <w:top w:w="0" w:type="dxa"/>
            <w:left w:w="10" w:type="dxa"/>
            <w:bottom w:w="0" w:type="dxa"/>
            <w:right w:w="10" w:type="dxa"/>
          </w:tblCellMar>
        </w:tblPrEx>
        <w:trPr>
          <w:trHeight w:val="7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五. 报告期内产品的投资策略和运作分析</w:t>
            </w:r>
          </w:p>
        </w:tc>
        <w:tc>
          <w:tcPr>
            <w:gridSpan w:val="4"/>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42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一、2023年一季度投资策略与运作回顾</w:t>
            </w:r>
            <w:r>
              <w:rPr>
                <w:rFonts w:ascii="宋体" w:hAnsi="宋体" w:eastAsia="宋体" w:cs="宋体"/>
                <w:color w:val="000000"/>
                <w:sz w:val="21"/>
              </w:rPr>
              <w:br w:type="textWrapping"/>
            </w:r>
            <w:r>
              <w:rPr>
                <w:rFonts w:ascii="宋体" w:hAnsi="宋体" w:eastAsia="宋体" w:cs="宋体"/>
                <w:color w:val="000000"/>
                <w:sz w:val="21"/>
              </w:rPr>
              <w:t xml:space="preserve">    2023年一季度债券市场整体先抑后扬。1月春节前感染人数快速下降，春节期间消费、出行快速复苏，市场对于经济修复的信心较为强劲，10年期国债一度向上接近3.1%；春节期后，1月数据反应了经济修复速度或不及预期，高频经济数据有所分化，市场的预期不断修正，10年期国债随着高频数据的公布在2.9%附近窄幅波动；2月下旬，由于信贷偏强叠加央行主动调节等因素共同作用，资金面明显偏紧，推动了利空情绪的上涨；3月初两会顺利召开，经济增长基调确定整体上符合或略低于预期，强刺激政策的担忧缓解，10年期国债利率下行。收益率方面，1年期国债、10年期国债、10年期国开债、3年AAA、3年AA+、3年AA和3年AA-分别变动14BP、2BP、1BP、-9BP、-34BP、-34BP和-32BP。信用利差方面，3年AAA、3年AA+、3年AA和3年AA-分别变动-19BP、-44BP、-44BP和-42BP。</w:t>
            </w:r>
            <w:r>
              <w:rPr>
                <w:rFonts w:ascii="宋体" w:hAnsi="宋体" w:eastAsia="宋体" w:cs="宋体"/>
                <w:color w:val="000000"/>
                <w:sz w:val="21"/>
              </w:rPr>
              <w:br w:type="textWrapping"/>
            </w:r>
            <w:r>
              <w:rPr>
                <w:rFonts w:ascii="宋体" w:hAnsi="宋体" w:eastAsia="宋体" w:cs="宋体"/>
                <w:color w:val="000000"/>
                <w:sz w:val="21"/>
              </w:rPr>
              <w:t xml:space="preserve">    </w:t>
            </w:r>
            <w:bookmarkStart w:id="7" w:name="_GoBack"/>
            <w:bookmarkEnd w:id="7"/>
            <w:r>
              <w:rPr>
                <w:rFonts w:ascii="宋体" w:hAnsi="宋体" w:eastAsia="宋体" w:cs="宋体"/>
                <w:color w:val="000000"/>
                <w:sz w:val="21"/>
              </w:rPr>
              <w:t>产品运作方面，考虑到疫情、地产政策的边际变化和强预期弱现实的状态，一季度整体采取了防守中略进攻的投资策略，在应对了年底的流动性风险后开始了积极的加仓。在具体操作方面，主要从增配低波资产、逐步增持债券资产等角度进行积极调仓，为组合平衡收益与流动性。</w:t>
            </w:r>
            <w:r>
              <w:rPr>
                <w:rFonts w:ascii="宋体" w:hAnsi="宋体" w:eastAsia="宋体" w:cs="宋体"/>
                <w:color w:val="000000"/>
                <w:sz w:val="21"/>
              </w:rPr>
              <w:br w:type="textWrapping"/>
            </w:r>
            <w:r>
              <w:rPr>
                <w:rFonts w:ascii="宋体" w:hAnsi="宋体" w:eastAsia="宋体" w:cs="宋体"/>
                <w:color w:val="000000"/>
                <w:sz w:val="21"/>
              </w:rPr>
              <w:br w:type="textWrapping"/>
            </w:r>
            <w:r>
              <w:rPr>
                <w:rFonts w:ascii="宋体" w:hAnsi="宋体" w:eastAsia="宋体" w:cs="宋体"/>
                <w:color w:val="000000"/>
                <w:sz w:val="21"/>
              </w:rPr>
              <w:t>二、2023年4月投资策略展望</w:t>
            </w:r>
            <w:r>
              <w:rPr>
                <w:rFonts w:ascii="宋体" w:hAnsi="宋体" w:eastAsia="宋体" w:cs="宋体"/>
                <w:color w:val="000000"/>
                <w:sz w:val="21"/>
              </w:rPr>
              <w:br w:type="textWrapping"/>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4/</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2"/>
          <w:wAfter w:w="20" w:type="dxa"/>
          <w:trHeight w:val="0" w:hRule="atLeast"/>
        </w:trPr>
        <w:tc>
          <w:p>
            <w:pPr>
              <w:pStyle w:val="4"/>
              <w:pageBreakBefore/>
            </w:pPr>
            <w:bookmarkStart w:id="4" w:name="JR_PAGE_ANCHOR_0_5"/>
            <w:bookmarkEnd w:id="4"/>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兴银理财天天万利宝稳利恒盈7号U款净值型理财产品2023年第一季度报告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19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4月从资金面角度来看，资金利率修复至政策利率附近，市场对未来的预期相对平稳，但是资金市场的分层现象有所加剧，基本面角度来看，修复斜率趋缓，但是地产等销售向好对基本面有一定的支撑，机构行为的角度来看，理财等的配置力量维持强势，海外事件的发酵压制风险偏好，预计债市整体震荡，尚无趋势性机会，配置仍以套息策略为主，杠杆策略仍是收益的重要来源。下阶段总体策略：防守策略为主，看好高等级信用债票息和杠杆策略，以及金融机构债的投资机会，在波动中提高组合静态收益，兼顾产品流动性。</w:t>
            </w:r>
            <w:r>
              <w:rPr>
                <w:rFonts w:ascii="宋体" w:hAnsi="宋体" w:eastAsia="宋体" w:cs="宋体"/>
                <w:color w:val="000000"/>
                <w:sz w:val="21"/>
              </w:rPr>
              <w:br w:type="textWrapping"/>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8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六. 投资组合情况</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p>
            <w:pPr>
              <w:pStyle w:val="4"/>
            </w:pPr>
          </w:p>
        </w:tc>
        <w:tc>
          <w:tcPr>
            <w:gridSpan w:val="16"/>
            <w:tcMar>
              <w:top w:w="0" w:type="dxa"/>
              <w:left w:w="0" w:type="dxa"/>
              <w:bottom w:w="0" w:type="dxa"/>
              <w:right w:w="0" w:type="dxa"/>
            </w:tcMar>
            <w:vAlign w:val="center"/>
          </w:tcPr>
          <w:p>
            <w:pPr>
              <w:jc w:val="left"/>
            </w:pPr>
            <w:r>
              <w:rPr>
                <w:rFonts w:ascii="宋体" w:hAnsi="宋体" w:eastAsia="宋体" w:cs="宋体"/>
                <w:b/>
                <w:color w:val="000000"/>
                <w:sz w:val="21"/>
              </w:rPr>
              <w:t>1.报告期末产品资产组合情况</w:t>
            </w:r>
          </w:p>
        </w:tc>
        <w:tc>
          <w:p>
            <w:pPr>
              <w:pStyle w:val="4"/>
            </w:pPr>
          </w:p>
        </w:tc>
      </w:tr>
      <w:tr>
        <w:tblPrEx>
          <w:tblCellMar>
            <w:top w:w="0" w:type="dxa"/>
            <w:left w:w="10" w:type="dxa"/>
            <w:bottom w:w="0" w:type="dxa"/>
            <w:right w:w="10" w:type="dxa"/>
          </w:tblCellMar>
        </w:tblPrEx>
        <w:trPr>
          <w:gridAfter w:val="2"/>
          <w:wAfter w:w="20" w:type="dxa"/>
          <w:trHeight w:val="4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800" w:hRule="exact"/>
        </w:trPr>
        <w:tc>
          <w:p>
            <w:pPr>
              <w:pStyle w:val="4"/>
            </w:pPr>
          </w:p>
        </w:tc>
        <w:tc>
          <w:p>
            <w:pPr>
              <w:pStyle w:val="4"/>
            </w:pPr>
          </w:p>
        </w:tc>
        <w:tc>
          <w:tcPr>
            <w:gridSpan w:val="16"/>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600"/>
              <w:gridCol w:w="3600"/>
              <w:gridCol w:w="3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直接投资占产品总资产的比例（%）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0F8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间接投资占产品总资产的比例（%）</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现金及银行存款</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1.27</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1.26</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公募基金</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0.84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1.76</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拆放同业及债券买入返售</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0.04</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债券</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60.64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60.64</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非标准化债权类资产</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36.30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36.30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委外投资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0.95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总计</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2.报告期末杠杆融资情况</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10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报告期末本产品总资产未超过该产品净资产规模的140%，符合产品协议对本产品杠杆比例的要求。</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3.投资组合的流动性风险分析</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58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r>
            <w:r>
              <w:rPr>
                <w:rFonts w:ascii="宋体" w:hAnsi="宋体" w:eastAsia="宋体" w:cs="宋体"/>
                <w:color w:val="000000"/>
                <w:sz w:val="21"/>
              </w:rPr>
              <w:br w:type="textWrapping"/>
            </w:r>
            <w:r>
              <w:rPr>
                <w:rFonts w:ascii="宋体" w:hAnsi="宋体" w:eastAsia="宋体" w:cs="宋体"/>
                <w:color w:val="000000"/>
                <w:sz w:val="21"/>
              </w:rPr>
              <w:t xml:space="preserve">    为防范无法支付赎回款而产生的流动性风险，本理财产品管理人将合理安排所投资产期限，持续根据市场变化情况做好投资安排，尽可能降低产品流动性风险，有效保障理财持有人利益。</w:t>
            </w:r>
            <w:r>
              <w:rPr>
                <w:rFonts w:ascii="宋体" w:hAnsi="宋体" w:eastAsia="宋体" w:cs="宋体"/>
                <w:color w:val="000000"/>
                <w:sz w:val="21"/>
              </w:rPr>
              <w:br w:type="textWrapping"/>
            </w:r>
            <w:r>
              <w:rPr>
                <w:rFonts w:ascii="宋体" w:hAnsi="宋体" w:eastAsia="宋体" w:cs="宋体"/>
                <w:color w:val="000000"/>
                <w:sz w:val="21"/>
              </w:rPr>
              <w:t xml:space="preserve">    报告期内，本理财产品管理人严格遵守相关法律法规以及产品销售协议，对理财产品组合资产的流动性风险进行管理，报告期内未发生流动性风险。</w:t>
            </w:r>
            <w:r>
              <w:rPr>
                <w:rFonts w:ascii="宋体" w:hAnsi="宋体" w:eastAsia="宋体" w:cs="宋体"/>
                <w:color w:val="000000"/>
                <w:sz w:val="21"/>
              </w:rPr>
              <w:br w:type="textWrapping"/>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1480" w:hRule="exact"/>
        </w:trPr>
        <w:tc>
          <w:p>
            <w:pPr>
              <w:pStyle w:val="4"/>
            </w:pPr>
          </w:p>
        </w:tc>
        <w:tc>
          <w:p>
            <w:pPr>
              <w:pStyle w:val="4"/>
            </w:pPr>
          </w:p>
        </w:tc>
        <w:tc>
          <w:tcPr>
            <w:gridSpan w:val="5"/>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p>
            <w:pPr>
              <w:pStyle w:val="4"/>
            </w:pPr>
          </w:p>
        </w:tc>
        <w:tc>
          <w:tcPr>
            <w:gridSpan w:val="5"/>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5/</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5" w:name="JR_PAGE_ANCHOR_0_6"/>
            <w:bookmarkEnd w:id="5"/>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兴银理财天天万利宝稳利恒盈7号U款净值型理财产品2023年第一季度报告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2"/>
          </w:tcPr>
          <w:p>
            <w:pPr>
              <w:pStyle w:val="4"/>
            </w:pPr>
          </w:p>
        </w:tc>
        <w:tc>
          <w:tcPr>
            <w:gridSpan w:val="17"/>
            <w:tcMar>
              <w:top w:w="0" w:type="dxa"/>
              <w:left w:w="0" w:type="dxa"/>
              <w:bottom w:w="0" w:type="dxa"/>
              <w:right w:w="0" w:type="dxa"/>
            </w:tcMar>
            <w:vAlign w:val="center"/>
          </w:tcPr>
          <w:p>
            <w:r>
              <w:rPr>
                <w:rFonts w:ascii="宋体" w:hAnsi="宋体" w:eastAsia="宋体" w:cs="宋体"/>
                <w:b/>
                <w:color w:val="000000"/>
                <w:sz w:val="21"/>
              </w:rPr>
              <w:t>4.报告期末资产持仓前十基本信息</w:t>
            </w:r>
          </w:p>
        </w:tc>
        <w:tc>
          <w:p>
            <w:pPr>
              <w:pStyle w:val="4"/>
            </w:pPr>
          </w:p>
        </w:tc>
      </w:tr>
      <w:tr>
        <w:tblPrEx>
          <w:tblCellMar>
            <w:top w:w="0" w:type="dxa"/>
            <w:left w:w="10" w:type="dxa"/>
            <w:bottom w:w="0" w:type="dxa"/>
            <w:right w:w="10" w:type="dxa"/>
          </w:tblCellMar>
        </w:tblPrEx>
        <w:trPr>
          <w:trHeight w:val="6640" w:hRule="exact"/>
        </w:trPr>
        <w:tc>
          <w:p>
            <w:pPr>
              <w:pStyle w:val="4"/>
            </w:pPr>
          </w:p>
        </w:tc>
        <w:tc>
          <w:tcPr>
            <w:gridSpan w:val="2"/>
          </w:tcPr>
          <w:p>
            <w:pPr>
              <w:pStyle w:val="4"/>
            </w:pPr>
          </w:p>
        </w:tc>
        <w:tc>
          <w:tcPr>
            <w:gridSpan w:val="17"/>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64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资产规模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占产品资产净值的比例（%）</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22武汉金控01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265,893,761.51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15.05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22盐城海兴01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210,731,381.10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11.93</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22新中泰集团ZR003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155,414,986.67</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8.80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22淮安国联07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129,434,049.66</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7.33</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18华融二级资本债01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100,718,367.12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5.70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22江津华信02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95,333,835.21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5.40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22晋能煤业PPN003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52,323,841.10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2.96</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22晋电04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51,418,982.88</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2.91</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22晋能煤业MTN006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42,226,818.08</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2.39</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21舜通MTN002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42,152,861.37</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2.39</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5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r>
              <w:rPr>
                <w:rFonts w:ascii="宋体" w:hAnsi="宋体" w:eastAsia="宋体" w:cs="宋体"/>
                <w:b/>
                <w:color w:val="000000"/>
                <w:sz w:val="21"/>
              </w:rPr>
              <w:t>5.报告期间关联交易情况</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5.1 理财产品在报告期末投资关联方发行、承销的证券的情况</w:t>
            </w:r>
          </w:p>
        </w:tc>
        <w:tc>
          <w:tcPr>
            <w:gridSpan w:val="4"/>
          </w:tcPr>
          <w:p>
            <w:pPr>
              <w:pStyle w:val="4"/>
            </w:pPr>
          </w:p>
        </w:tc>
        <w:tc>
          <w:p>
            <w:pPr>
              <w:pStyle w:val="4"/>
            </w:pPr>
          </w:p>
        </w:tc>
      </w:tr>
      <w:tr>
        <w:tblPrEx>
          <w:tblCellMar>
            <w:top w:w="0" w:type="dxa"/>
            <w:left w:w="10" w:type="dxa"/>
            <w:bottom w:w="0" w:type="dxa"/>
            <w:right w:w="10" w:type="dxa"/>
          </w:tblCellMar>
        </w:tblPrEx>
        <w:trPr>
          <w:trHeight w:val="54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承销商/发行人</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9N212370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20云能投MTN004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9N212370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21高淳经开MTN002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9N212370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21汉江国资MTN002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9N212370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21宁经开PPN001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9N212370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21天成租赁GN002(碳中和债)</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9N212370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22河钢集MTN001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9N212370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22江北新区PPN001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9N212370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22连云金控MTN001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5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2"/>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6/</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6" w:name="JR_PAGE_ANCHOR_0_7"/>
            <w:bookmarkEnd w:id="6"/>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兴银理财天天万利宝稳利恒盈7号U款净值型理财产品2023年第一季度报告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30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9N212370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22平湖城投MTN001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9N212370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22三亚旅投MTN001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9N212370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22武夷投资MTN001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9N212370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22徐州高新MTN001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9N212370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22云能投MTN002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5.2 理财产品在报告期内其他关联交易</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交易标的</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交易金额（万元）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blPrEx>
                <w:tblCellMar>
                  <w:top w:w="0" w:type="dxa"/>
                  <w:left w:w="10" w:type="dxa"/>
                  <w:bottom w:w="0" w:type="dxa"/>
                  <w:right w:w="10" w:type="dxa"/>
                </w:tblCellMar>
              </w:tblPrEx>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5.3 理财产品在报告期内中的重大关联交易</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blPrEx>
                <w:tblCellMar>
                  <w:top w:w="0" w:type="dxa"/>
                  <w:left w:w="10" w:type="dxa"/>
                  <w:bottom w:w="0" w:type="dxa"/>
                  <w:right w:w="10" w:type="dxa"/>
                </w:tblCellMar>
              </w:tblPrEx>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17"/>
            <w:tcMar>
              <w:top w:w="0" w:type="dxa"/>
              <w:left w:w="0" w:type="dxa"/>
              <w:bottom w:w="0" w:type="dxa"/>
              <w:right w:w="0" w:type="dxa"/>
            </w:tcMar>
            <w:vAlign w:val="center"/>
          </w:tcPr>
          <w:p>
            <w:pPr>
              <w:jc w:val="left"/>
            </w:pPr>
            <w:r>
              <w:rPr>
                <w:rFonts w:ascii="宋体" w:hAnsi="宋体" w:eastAsia="宋体" w:cs="宋体"/>
                <w:b/>
                <w:color w:val="000000"/>
                <w:sz w:val="21"/>
              </w:rPr>
              <w:t>6.投资账户信息</w:t>
            </w: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7"/>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200"/>
              <w:gridCol w:w="3000"/>
              <w:gridCol w:w="4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账户编号</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3B4B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托管账户</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051010100101393910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兴银理财天天万利宝稳利恒盈7号U款净值型理财产品</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9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center"/>
          </w:tcPr>
          <w:p>
            <w:pPr>
              <w:jc w:val="right"/>
            </w:pPr>
            <w:r>
              <w:rPr>
                <w:rFonts w:ascii="宋体" w:hAnsi="宋体" w:eastAsia="宋体" w:cs="宋体"/>
                <w:color w:val="000000"/>
                <w:sz w:val="21"/>
              </w:rPr>
              <w:t>兴银理财有限责任公司</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top"/>
          </w:tcPr>
          <w:p>
            <w:pPr>
              <w:jc w:val="right"/>
            </w:pPr>
            <w:r>
              <w:rPr>
                <w:rFonts w:ascii="宋体" w:hAnsi="宋体" w:eastAsia="宋体" w:cs="宋体"/>
                <w:color w:val="000000"/>
                <w:sz w:val="21"/>
              </w:rPr>
              <w:t>2023年4月23日</w:t>
            </w:r>
          </w:p>
        </w:tc>
        <w:tc>
          <w:tcPr>
            <w:gridSpan w:val="4"/>
          </w:tcPr>
          <w:p>
            <w:pPr>
              <w:pStyle w:val="4"/>
            </w:pPr>
          </w:p>
        </w:tc>
        <w:tc>
          <w:p>
            <w:pPr>
              <w:pStyle w:val="4"/>
            </w:pPr>
          </w:p>
        </w:tc>
      </w:tr>
      <w:tr>
        <w:tblPrEx>
          <w:tblCellMar>
            <w:top w:w="0" w:type="dxa"/>
            <w:left w:w="10" w:type="dxa"/>
            <w:bottom w:w="0" w:type="dxa"/>
            <w:right w:w="10" w:type="dxa"/>
          </w:tblCellMar>
        </w:tblPrEx>
        <w:trPr>
          <w:trHeight w:val="468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2"/>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7/</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4"/>
          </w:tcPr>
          <w:p>
            <w:pPr>
              <w:pStyle w:val="4"/>
            </w:pPr>
          </w:p>
        </w:tc>
        <w:tc>
          <w:p>
            <w:pPr>
              <w:pStyle w:val="4"/>
            </w:pPr>
          </w:p>
        </w:tc>
      </w:tr>
    </w:tbl>
    <w:p/>
    <w:sectPr>
      <w:pgSz w:w="11900" w:h="16840"/>
      <w:pgMar w:top="600" w:right="560" w:bottom="240" w:left="600" w:header="0" w:footer="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cumentProtection w:enforcement="0"/>
  <w:defaultTabStop w:val="800"/>
  <w:compat>
    <w:useFELayout/>
    <w:splitPgBreakAndParaMark/>
    <w:compatSetting w:name="compatibilityMode" w:uri="http://schemas.microsoft.com/office/word" w:val="12"/>
  </w:compat>
  <w:rsids>
    <w:rsidRoot w:val="00000000"/>
    <w:rsid w:val="0BD8089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sz w:val="21"/>
      <w:szCs w:val="22"/>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EMPTY_CELL_STYLE"/>
    <w:qFormat/>
    <w:uiPriority w:val="0"/>
    <w:pPr>
      <w:spacing w:line="240" w:lineRule="auto"/>
    </w:pPr>
    <w:rPr>
      <w:rFonts w:ascii="SansSerif" w:hAnsi="SansSerif" w:eastAsia="SansSerif" w:cs="SansSerif"/>
      <w:color w:val="000000"/>
      <w:sz w:val="1"/>
      <w:szCs w:val="22"/>
    </w:rPr>
  </w:style>
  <w:style w:type="paragraph" w:customStyle="1" w:styleId="5">
    <w:name w:val="Table_TH"/>
    <w:qFormat/>
    <w:uiPriority w:val="0"/>
    <w:pPr>
      <w:spacing w:line="240" w:lineRule="auto"/>
    </w:pPr>
    <w:rPr>
      <w:rFonts w:ascii="SansSerif" w:hAnsi="SansSerif" w:eastAsia="SansSerif" w:cs="SansSerif"/>
      <w:color w:val="000000"/>
      <w:sz w:val="20"/>
      <w:szCs w:val="22"/>
    </w:rPr>
  </w:style>
  <w:style w:type="paragraph" w:customStyle="1" w:styleId="6">
    <w:name w:val="Table_CH"/>
    <w:qFormat/>
    <w:uiPriority w:val="0"/>
    <w:pPr>
      <w:spacing w:line="240" w:lineRule="auto"/>
    </w:pPr>
    <w:rPr>
      <w:rFonts w:ascii="SansSerif" w:hAnsi="SansSerif" w:eastAsia="SansSerif" w:cs="SansSerif"/>
      <w:color w:val="000000"/>
      <w:sz w:val="20"/>
      <w:szCs w:val="22"/>
    </w:rPr>
  </w:style>
  <w:style w:type="paragraph" w:customStyle="1" w:styleId="7">
    <w:name w:val="Table_TD"/>
    <w:qFormat/>
    <w:uiPriority w:val="0"/>
    <w:pPr>
      <w:spacing w:line="240" w:lineRule="auto"/>
    </w:pPr>
    <w:rPr>
      <w:rFonts w:ascii="SansSerif" w:hAnsi="SansSerif" w:eastAsia="SansSerif" w:cs="SansSerif"/>
      <w:color w:val="000000"/>
      <w:sz w:val="20"/>
      <w:szCs w:val="22"/>
    </w:rPr>
  </w:style>
  <w:style w:type="paragraph" w:customStyle="1" w:styleId="8">
    <w:name w:val="Table_CD"/>
    <w:qFormat/>
    <w:uiPriority w:val="0"/>
    <w:pPr>
      <w:spacing w:line="240" w:lineRule="auto"/>
    </w:pPr>
    <w:rPr>
      <w:rFonts w:ascii="SansSerif" w:hAnsi="SansSerif" w:eastAsia="SansSerif" w:cs="SansSerif"/>
      <w:color w:val="000000"/>
      <w:sz w:val="20"/>
      <w:szCs w:val="22"/>
    </w:rPr>
  </w:style>
  <w:style w:type="paragraph" w:customStyle="1" w:styleId="9">
    <w:name w:val="Table 3_TH"/>
    <w:qFormat/>
    <w:uiPriority w:val="0"/>
    <w:pPr>
      <w:spacing w:line="240" w:lineRule="auto"/>
    </w:pPr>
    <w:rPr>
      <w:rFonts w:ascii="SansSerif" w:hAnsi="SansSerif" w:eastAsia="SansSerif" w:cs="SansSerif"/>
      <w:color w:val="000000"/>
      <w:sz w:val="20"/>
      <w:szCs w:val="22"/>
    </w:rPr>
  </w:style>
  <w:style w:type="paragraph" w:customStyle="1" w:styleId="10">
    <w:name w:val="Table 3_CH"/>
    <w:qFormat/>
    <w:uiPriority w:val="0"/>
    <w:pPr>
      <w:spacing w:line="240" w:lineRule="auto"/>
    </w:pPr>
    <w:rPr>
      <w:rFonts w:ascii="SansSerif" w:hAnsi="SansSerif" w:eastAsia="SansSerif" w:cs="SansSerif"/>
      <w:color w:val="000000"/>
      <w:sz w:val="20"/>
      <w:szCs w:val="22"/>
    </w:rPr>
  </w:style>
  <w:style w:type="paragraph" w:customStyle="1" w:styleId="11">
    <w:name w:val="Table 3_TD"/>
    <w:qFormat/>
    <w:uiPriority w:val="0"/>
    <w:pPr>
      <w:spacing w:line="240" w:lineRule="auto"/>
    </w:pPr>
    <w:rPr>
      <w:rFonts w:ascii="SansSerif" w:hAnsi="SansSerif" w:eastAsia="SansSerif" w:cs="SansSerif"/>
      <w:color w:val="000000"/>
      <w:sz w:val="20"/>
      <w:szCs w:val="22"/>
    </w:rPr>
  </w:style>
  <w:style w:type="paragraph" w:customStyle="1" w:styleId="12">
    <w:name w:val="Table 4_TH"/>
    <w:qFormat/>
    <w:uiPriority w:val="0"/>
    <w:pPr>
      <w:spacing w:line="240" w:lineRule="auto"/>
    </w:pPr>
    <w:rPr>
      <w:rFonts w:ascii="SansSerif" w:hAnsi="SansSerif" w:eastAsia="SansSerif" w:cs="SansSerif"/>
      <w:color w:val="000000"/>
      <w:sz w:val="20"/>
      <w:szCs w:val="22"/>
    </w:rPr>
  </w:style>
  <w:style w:type="paragraph" w:customStyle="1" w:styleId="13">
    <w:name w:val="Table 4_CH"/>
    <w:qFormat/>
    <w:uiPriority w:val="0"/>
    <w:pPr>
      <w:spacing w:line="240" w:lineRule="auto"/>
    </w:pPr>
    <w:rPr>
      <w:rFonts w:ascii="SansSerif" w:hAnsi="SansSerif" w:eastAsia="SansSerif" w:cs="SansSerif"/>
      <w:color w:val="000000"/>
      <w:sz w:val="20"/>
      <w:szCs w:val="22"/>
    </w:rPr>
  </w:style>
  <w:style w:type="paragraph" w:customStyle="1" w:styleId="14">
    <w:name w:val="Table 4_TD"/>
    <w:qFormat/>
    <w:uiPriority w:val="0"/>
    <w:pPr>
      <w:spacing w:line="240" w:lineRule="auto"/>
    </w:pPr>
    <w:rPr>
      <w:rFonts w:ascii="SansSerif" w:hAnsi="SansSerif" w:eastAsia="SansSerif" w:cs="SansSerif"/>
      <w:color w:val="000000"/>
      <w:sz w:val="20"/>
      <w:szCs w:val="22"/>
    </w:rPr>
  </w:style>
  <w:style w:type="paragraph" w:customStyle="1" w:styleId="15">
    <w:name w:val="Table 1_TH"/>
    <w:qFormat/>
    <w:uiPriority w:val="0"/>
    <w:pPr>
      <w:spacing w:line="240" w:lineRule="auto"/>
    </w:pPr>
    <w:rPr>
      <w:rFonts w:ascii="SansSerif" w:hAnsi="SansSerif" w:eastAsia="SansSerif" w:cs="SansSerif"/>
      <w:color w:val="000000"/>
      <w:sz w:val="20"/>
      <w:szCs w:val="22"/>
    </w:rPr>
  </w:style>
  <w:style w:type="paragraph" w:customStyle="1" w:styleId="16">
    <w:name w:val="Table 1_CH"/>
    <w:qFormat/>
    <w:uiPriority w:val="0"/>
    <w:pPr>
      <w:spacing w:line="240" w:lineRule="auto"/>
    </w:pPr>
    <w:rPr>
      <w:rFonts w:ascii="SansSerif" w:hAnsi="SansSerif" w:eastAsia="SansSerif" w:cs="SansSerif"/>
      <w:color w:val="000000"/>
      <w:sz w:val="20"/>
      <w:szCs w:val="22"/>
    </w:rPr>
  </w:style>
  <w:style w:type="paragraph" w:customStyle="1" w:styleId="17">
    <w:name w:val="Table 1_TD"/>
    <w:qFormat/>
    <w:uiPriority w:val="0"/>
    <w:pPr>
      <w:spacing w:line="240" w:lineRule="auto"/>
    </w:pPr>
    <w:rPr>
      <w:rFonts w:ascii="SansSerif" w:hAnsi="SansSerif" w:eastAsia="SansSerif" w:cs="SansSerif"/>
      <w:color w:val="000000"/>
      <w:sz w:val="20"/>
      <w:szCs w:val="22"/>
    </w:rPr>
  </w:style>
  <w:style w:type="paragraph" w:customStyle="1" w:styleId="18">
    <w:name w:val="Table 2_TH"/>
    <w:qFormat/>
    <w:uiPriority w:val="0"/>
    <w:pPr>
      <w:spacing w:line="240" w:lineRule="auto"/>
    </w:pPr>
    <w:rPr>
      <w:rFonts w:ascii="SansSerif" w:hAnsi="SansSerif" w:eastAsia="SansSerif" w:cs="SansSerif"/>
      <w:color w:val="000000"/>
      <w:sz w:val="20"/>
      <w:szCs w:val="22"/>
    </w:rPr>
  </w:style>
  <w:style w:type="paragraph" w:customStyle="1" w:styleId="19">
    <w:name w:val="Table 2_CH"/>
    <w:qFormat/>
    <w:uiPriority w:val="0"/>
    <w:pPr>
      <w:spacing w:line="240" w:lineRule="auto"/>
    </w:pPr>
    <w:rPr>
      <w:rFonts w:ascii="SansSerif" w:hAnsi="SansSerif" w:eastAsia="SansSerif" w:cs="SansSerif"/>
      <w:color w:val="000000"/>
      <w:sz w:val="20"/>
      <w:szCs w:val="22"/>
    </w:rPr>
  </w:style>
  <w:style w:type="paragraph" w:customStyle="1" w:styleId="20">
    <w:name w:val="Table 2_TD"/>
    <w:qFormat/>
    <w:uiPriority w:val="0"/>
    <w:pPr>
      <w:spacing w:line="240" w:lineRule="auto"/>
    </w:pPr>
    <w:rPr>
      <w:rFonts w:ascii="SansSerif" w:hAnsi="SansSerif" w:eastAsia="SansSerif" w:cs="SansSerif"/>
      <w:color w:val="000000"/>
      <w:sz w:val="20"/>
      <w:szCs w:val="22"/>
    </w:rPr>
  </w:style>
  <w:style w:type="paragraph" w:customStyle="1" w:styleId="21">
    <w:name w:val="Table 5_TH"/>
    <w:qFormat/>
    <w:uiPriority w:val="0"/>
    <w:pPr>
      <w:spacing w:line="240" w:lineRule="auto"/>
    </w:pPr>
    <w:rPr>
      <w:rFonts w:ascii="SansSerif" w:hAnsi="SansSerif" w:eastAsia="SansSerif" w:cs="SansSerif"/>
      <w:color w:val="000000"/>
      <w:sz w:val="20"/>
      <w:szCs w:val="22"/>
    </w:rPr>
  </w:style>
  <w:style w:type="paragraph" w:customStyle="1" w:styleId="22">
    <w:name w:val="Table 5_CH"/>
    <w:qFormat/>
    <w:uiPriority w:val="0"/>
    <w:pPr>
      <w:spacing w:line="240" w:lineRule="auto"/>
    </w:pPr>
    <w:rPr>
      <w:rFonts w:ascii="SansSerif" w:hAnsi="SansSerif" w:eastAsia="SansSerif" w:cs="SansSerif"/>
      <w:color w:val="000000"/>
      <w:sz w:val="20"/>
      <w:szCs w:val="22"/>
    </w:rPr>
  </w:style>
  <w:style w:type="paragraph" w:customStyle="1" w:styleId="23">
    <w:name w:val="Table 5_TD"/>
    <w:qFormat/>
    <w:uiPriority w:val="0"/>
    <w:pPr>
      <w:spacing w:line="240" w:lineRule="auto"/>
    </w:pPr>
    <w:rPr>
      <w:rFonts w:ascii="SansSerif" w:hAnsi="SansSerif" w:eastAsia="SansSerif" w:cs="SansSerif"/>
      <w:color w:val="000000"/>
      <w:sz w:val="20"/>
      <w:szCs w:val="22"/>
    </w:rPr>
  </w:style>
  <w:style w:type="paragraph" w:customStyle="1" w:styleId="24">
    <w:name w:val="Table 6_TH"/>
    <w:qFormat/>
    <w:uiPriority w:val="0"/>
    <w:pPr>
      <w:spacing w:line="240" w:lineRule="auto"/>
    </w:pPr>
    <w:rPr>
      <w:rFonts w:ascii="SansSerif" w:hAnsi="SansSerif" w:eastAsia="SansSerif" w:cs="SansSerif"/>
      <w:color w:val="000000"/>
      <w:sz w:val="20"/>
      <w:szCs w:val="22"/>
    </w:rPr>
  </w:style>
  <w:style w:type="paragraph" w:customStyle="1" w:styleId="25">
    <w:name w:val="Table 6_CH"/>
    <w:qFormat/>
    <w:uiPriority w:val="0"/>
    <w:pPr>
      <w:spacing w:line="240" w:lineRule="auto"/>
    </w:pPr>
    <w:rPr>
      <w:rFonts w:ascii="SansSerif" w:hAnsi="SansSerif" w:eastAsia="SansSerif" w:cs="SansSerif"/>
      <w:color w:val="000000"/>
      <w:sz w:val="20"/>
      <w:szCs w:val="22"/>
    </w:rPr>
  </w:style>
  <w:style w:type="paragraph" w:customStyle="1" w:styleId="26">
    <w:name w:val="Table 6_TD"/>
    <w:qFormat/>
    <w:uiPriority w:val="0"/>
    <w:pPr>
      <w:spacing w:line="240" w:lineRule="auto"/>
    </w:pPr>
    <w:rPr>
      <w:rFonts w:ascii="SansSerif" w:hAnsi="SansSerif" w:eastAsia="SansSerif" w:cs="SansSerif"/>
      <w:color w:val="000000"/>
      <w:sz w:val="20"/>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Office_11.8.2.10154_F1E327BC-269C-435d-A152-05C5408002CA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2023-04-20T08:55:00Z</dcterms:created>
  <dc:creator>cib</dc:creator>
  <cp:lastModifiedBy>cib</cp:lastModifiedBy>
  <dcterms:modified xsi:type="dcterms:W3CDTF">2023-04-20T08:56:57Z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ies>
</file>