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820"/>
        <w:gridCol w:w="380"/>
        <w:gridCol w:w="740"/>
        <w:gridCol w:w="260"/>
        <w:gridCol w:w="1000"/>
        <w:gridCol w:w="1000"/>
        <w:gridCol w:w="1000"/>
        <w:gridCol w:w="2620"/>
        <w:gridCol w:w="220"/>
        <w:gridCol w:w="260"/>
        <w:gridCol w:w="200"/>
        <w:gridCol w:w="1"/>
        <w:gridCol w:w="19"/>
        <w:gridCol w:w="20"/>
        <w:gridCol w:w="1"/>
      </w:tblGrid>
      <w:tr>
        <w:tblPrEx>
          <w:tblCellMar>
            <w:top w:w="0" w:type="dxa"/>
            <w:left w:w="10" w:type="dxa"/>
            <w:bottom w:w="0" w:type="dxa"/>
            <w:right w:w="10" w:type="dxa"/>
          </w:tblCellMar>
        </w:tblPrEx>
        <w:trPr>
          <w:gridAfter w:val="3"/>
          <w:trHeight w:val="0" w:hRule="atLeast"/>
        </w:trPr>
        <w:tc>
          <w:p>
            <w:pPr>
              <w:pStyle w:val="4"/>
            </w:pPr>
            <w:bookmarkStart w:id="0" w:name="JR_PAGE_ANCHOR_0_1"/>
            <w:bookmarkEnd w:id="0"/>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兴银理财灵动全天候20号净值型理财产品2023年第一季度报告</w:t>
            </w:r>
          </w:p>
        </w:tc>
        <w:tc>
          <w:p>
            <w:pPr>
              <w:pStyle w:val="4"/>
            </w:pPr>
          </w:p>
        </w:tc>
      </w:tr>
      <w:tr>
        <w:tblPrEx>
          <w:tblCellMar>
            <w:top w:w="0" w:type="dxa"/>
            <w:left w:w="10" w:type="dxa"/>
            <w:bottom w:w="0" w:type="dxa"/>
            <w:right w:w="10" w:type="dxa"/>
          </w:tblCellMar>
        </w:tblPrEx>
        <w:trPr>
          <w:gridAfter w:val="3"/>
          <w:trHeight w:val="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3"/>
          <w:trHeight w:val="96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3020" w:hRule="atLeast"/>
        </w:trPr>
        <w:tc>
          <w:p>
            <w:pPr>
              <w:pStyle w:val="4"/>
            </w:pPr>
          </w:p>
        </w:tc>
        <w:tc>
          <w:tcPr>
            <w:gridSpan w:val="15"/>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兴银理财灵动全天候20号净值型理财产品</w:t>
            </w:r>
            <w:r>
              <w:rPr>
                <w:rFonts w:ascii="宋体" w:hAnsi="宋体" w:eastAsia="宋体" w:cs="宋体"/>
                <w:b/>
                <w:color w:val="000000"/>
                <w:sz w:val="32"/>
              </w:rPr>
              <w:br w:type="textWrapping"/>
            </w:r>
            <w:r>
              <w:rPr>
                <w:rFonts w:ascii="宋体" w:hAnsi="宋体" w:eastAsia="宋体" w:cs="宋体"/>
                <w:b/>
                <w:color w:val="000000"/>
                <w:sz w:val="32"/>
              </w:rPr>
              <w:t>2023年第一季度报告</w:t>
            </w:r>
          </w:p>
        </w:tc>
        <w:tc>
          <w:p>
            <w:pPr>
              <w:pStyle w:val="4"/>
            </w:pPr>
          </w:p>
        </w:tc>
      </w:tr>
      <w:tr>
        <w:tblPrEx>
          <w:tblCellMar>
            <w:top w:w="0" w:type="dxa"/>
            <w:left w:w="10" w:type="dxa"/>
            <w:bottom w:w="0" w:type="dxa"/>
            <w:right w:w="10" w:type="dxa"/>
          </w:tblCellMar>
        </w:tblPrEx>
        <w:trPr>
          <w:gridAfter w:val="3"/>
          <w:trHeight w:val="660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5"/>
          </w:tcPr>
          <w:p>
            <w:pPr>
              <w:pStyle w:val="4"/>
            </w:pPr>
          </w:p>
        </w:tc>
        <w:tc>
          <w:tcPr>
            <w:gridSpan w:val="7"/>
            <w:tcMar>
              <w:top w:w="0" w:type="dxa"/>
              <w:left w:w="0" w:type="dxa"/>
              <w:bottom w:w="0" w:type="dxa"/>
              <w:right w:w="0" w:type="dxa"/>
            </w:tcMar>
            <w:vAlign w:val="center"/>
          </w:tcPr>
          <w:p>
            <w:pPr>
              <w:jc w:val="left"/>
            </w:pPr>
            <w:r>
              <w:rPr>
                <w:rFonts w:ascii="宋体" w:hAnsi="宋体" w:eastAsia="宋体" w:cs="宋体"/>
                <w:color w:val="000000"/>
                <w:sz w:val="24"/>
              </w:rPr>
              <w:t>报告送出日期：2023年4月23日</w:t>
            </w: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2720" w:hRule="exact"/>
        </w:trPr>
        <w:tc>
          <w:p>
            <w:pPr>
              <w:pStyle w:val="4"/>
            </w:pPr>
          </w:p>
        </w:tc>
        <w:tc>
          <w:tcPr>
            <w:gridSpan w:val="5"/>
          </w:tcPr>
          <w:p>
            <w:pPr>
              <w:pStyle w:val="4"/>
            </w:pPr>
          </w:p>
        </w:tc>
        <w:tc>
          <w:p>
            <w:pPr>
              <w:pStyle w:val="4"/>
            </w:pPr>
          </w:p>
        </w:tc>
        <w:tc>
          <w:tcPr>
            <w:gridSpan w:val="3"/>
          </w:tcPr>
          <w:p>
            <w:pPr>
              <w:pStyle w:val="4"/>
            </w:pPr>
          </w:p>
        </w:tc>
        <w:tc>
          <w:tcPr>
            <w:gridSpan w:val="2"/>
          </w:tcPr>
          <w:p>
            <w:pPr>
              <w:pStyle w:val="4"/>
            </w:pP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400" w:hRule="atLeast"/>
        </w:trPr>
        <w:tc>
          <w:p>
            <w:pPr>
              <w:pStyle w:val="4"/>
            </w:pPr>
          </w:p>
        </w:tc>
        <w:tc>
          <w:tcPr>
            <w:gridSpan w:val="5"/>
          </w:tcPr>
          <w:p>
            <w:pPr>
              <w:pStyle w:val="4"/>
            </w:pPr>
          </w:p>
        </w:tc>
        <w:tc>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3"/>
          <w:trHeight w:val="0" w:hRule="atLeast"/>
        </w:trPr>
        <w:tc>
          <w:p>
            <w:pPr>
              <w:pStyle w:val="4"/>
              <w:pageBreakBefore/>
            </w:pPr>
            <w:bookmarkStart w:id="1" w:name="JR_PAGE_ANCHOR_0_2"/>
            <w:bookmarkEnd w:id="1"/>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兴银理财灵动全天候20号净值型理财产品2023年第一季度报告</w:t>
            </w:r>
          </w:p>
        </w:tc>
        <w:tc>
          <w:p>
            <w:pPr>
              <w:pStyle w:val="4"/>
            </w:pPr>
          </w:p>
        </w:tc>
      </w:tr>
      <w:tr>
        <w:tblPrEx>
          <w:tblCellMar>
            <w:top w:w="0" w:type="dxa"/>
            <w:left w:w="10" w:type="dxa"/>
            <w:bottom w:w="0" w:type="dxa"/>
            <w:right w:w="10" w:type="dxa"/>
          </w:tblCellMar>
        </w:tblPrEx>
        <w:trPr>
          <w:gridAfter w:val="3"/>
          <w:trHeight w:val="2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3"/>
          <w:trHeight w:val="8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trHeight w:val="600" w:hRule="atLeast"/>
        </w:trPr>
        <w:tc>
          <w:p>
            <w:pPr>
              <w:pStyle w:val="4"/>
            </w:pPr>
          </w:p>
        </w:tc>
        <w:tc>
          <w:tcPr>
            <w:gridSpan w:val="3"/>
          </w:tcPr>
          <w:p>
            <w:pPr>
              <w:pStyle w:val="4"/>
            </w:pPr>
          </w:p>
        </w:tc>
        <w:tc>
          <w:tcPr>
            <w:gridSpan w:val="3"/>
          </w:tcPr>
          <w:p>
            <w:pPr>
              <w:pStyle w:val="4"/>
            </w:pPr>
          </w:p>
        </w:tc>
        <w:tc>
          <w:tcPr>
            <w:gridSpan w:val="2"/>
          </w:tcPr>
          <w:p>
            <w:pPr>
              <w:pStyle w:val="4"/>
            </w:pPr>
          </w:p>
        </w:tc>
        <w:tc>
          <w:tcPr>
            <w:gridSpan w:val="2"/>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trHeight w:val="44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trHeight w:val="6840" w:hRule="atLeast"/>
        </w:trPr>
        <w:tc>
          <w:p>
            <w:pPr>
              <w:pStyle w:val="4"/>
            </w:pPr>
          </w:p>
        </w:tc>
        <w:tc>
          <w:tcPr>
            <w:gridSpan w:val="3"/>
          </w:tcPr>
          <w:p>
            <w:pPr>
              <w:pStyle w:val="4"/>
            </w:pPr>
          </w:p>
        </w:tc>
        <w:tc>
          <w:tcPr>
            <w:gridSpan w:val="11"/>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p>
            <w:pPr>
              <w:pStyle w:val="4"/>
            </w:pPr>
          </w:p>
        </w:tc>
        <w:tc>
          <w:p>
            <w:pPr>
              <w:pStyle w:val="4"/>
            </w:pPr>
          </w:p>
        </w:tc>
      </w:tr>
      <w:tr>
        <w:tblPrEx>
          <w:tblCellMar>
            <w:top w:w="0" w:type="dxa"/>
            <w:left w:w="10" w:type="dxa"/>
            <w:bottom w:w="0" w:type="dxa"/>
            <w:right w:w="10" w:type="dxa"/>
          </w:tblCellMar>
        </w:tblPrEx>
        <w:trPr>
          <w:gridAfter w:val="3"/>
          <w:trHeight w:val="6080" w:hRule="exact"/>
        </w:trPr>
        <w:tc>
          <w:p>
            <w:pPr>
              <w:pStyle w:val="4"/>
            </w:pPr>
          </w:p>
        </w:tc>
        <w:tc>
          <w:tcPr>
            <w:gridSpan w:val="3"/>
          </w:tcPr>
          <w:p>
            <w:pPr>
              <w:pStyle w:val="4"/>
            </w:pPr>
          </w:p>
        </w:tc>
        <w:tc>
          <w:tcPr>
            <w:gridSpan w:val="3"/>
          </w:tcPr>
          <w:p>
            <w:pPr>
              <w:pStyle w:val="4"/>
            </w:pPr>
          </w:p>
        </w:tc>
        <w:tc>
          <w:tcPr>
            <w:gridSpan w:val="2"/>
          </w:tcPr>
          <w:p>
            <w:pPr>
              <w:pStyle w:val="4"/>
            </w:pPr>
          </w:p>
        </w:tc>
        <w:tc>
          <w:p>
            <w:pPr>
              <w:pStyle w:val="4"/>
            </w:pPr>
          </w:p>
        </w:tc>
        <w:tc>
          <w:p>
            <w:pPr>
              <w:pStyle w:val="4"/>
            </w:pPr>
          </w:p>
        </w:tc>
        <w:tc>
          <w:p>
            <w:pPr>
              <w:pStyle w:val="4"/>
            </w:pP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trHeight w:val="400" w:hRule="atLeast"/>
        </w:trPr>
        <w:tc>
          <w:p>
            <w:pPr>
              <w:pStyle w:val="4"/>
            </w:pPr>
          </w:p>
        </w:tc>
        <w:tc>
          <w:tcPr>
            <w:gridSpan w:val="3"/>
          </w:tcPr>
          <w:p>
            <w:pPr>
              <w:pStyle w:val="4"/>
            </w:pPr>
          </w:p>
        </w:tc>
        <w:tc>
          <w:tcPr>
            <w:gridSpan w:val="3"/>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p>
            <w:pPr>
              <w:pStyle w:val="4"/>
            </w:pPr>
          </w:p>
        </w:tc>
        <w:tc>
          <w:p>
            <w:pPr>
              <w:pStyle w:val="4"/>
            </w:pPr>
          </w:p>
        </w:tc>
      </w:tr>
      <w:tr>
        <w:tblPrEx>
          <w:tblCellMar>
            <w:top w:w="0" w:type="dxa"/>
            <w:left w:w="10" w:type="dxa"/>
            <w:bottom w:w="0" w:type="dxa"/>
            <w:right w:w="10" w:type="dxa"/>
          </w:tblCellMar>
        </w:tblPrEx>
        <w:trPr>
          <w:gridAfter w:val="3"/>
          <w:trHeight w:val="0" w:hRule="atLeast"/>
        </w:trPr>
        <w:tc>
          <w:p>
            <w:pPr>
              <w:pStyle w:val="4"/>
              <w:pageBreakBefore/>
            </w:pPr>
            <w:bookmarkStart w:id="2" w:name="JR_PAGE_ANCHOR_0_3"/>
            <w:bookmarkEnd w:id="2"/>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兴银理财灵动全天候20号净值型理财产品2023年第一季度报告</w:t>
            </w:r>
          </w:p>
        </w:tc>
        <w:tc>
          <w:p>
            <w:pPr>
              <w:pStyle w:val="4"/>
            </w:pPr>
          </w:p>
        </w:tc>
      </w:tr>
      <w:tr>
        <w:tblPrEx>
          <w:tblCellMar>
            <w:top w:w="0" w:type="dxa"/>
            <w:left w:w="10" w:type="dxa"/>
            <w:bottom w:w="0" w:type="dxa"/>
            <w:right w:w="10" w:type="dxa"/>
          </w:tblCellMar>
        </w:tblPrEx>
        <w:trPr>
          <w:gridAfter w:val="3"/>
          <w:trHeight w:val="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3"/>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3"/>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trHeight w:val="3080" w:hRule="atLeast"/>
        </w:trPr>
        <w:tc>
          <w:p>
            <w:pPr>
              <w:pStyle w:val="4"/>
            </w:pPr>
          </w:p>
        </w:tc>
        <w:tc>
          <w:tcPr>
            <w:gridSpan w:val="15"/>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3"/>
          <w:trHeight w:val="6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3"/>
          <w:trHeight w:val="20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兴银理财灵动全天候20号净值型理财产品</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9K212070</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Z7002021000009</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300,806,813.54份</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2.00%--6.00%/--</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R3</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3"/>
          <w:trHeight w:val="500" w:hRule="atLeast"/>
        </w:trPr>
        <w:tc>
          <w:p>
            <w:pPr>
              <w:pStyle w:val="4"/>
            </w:pPr>
          </w:p>
        </w:tc>
        <w:tc>
          <w:tcPr>
            <w:gridSpan w:val="7"/>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3"/>
          <w:trHeight w:val="2400" w:hRule="exact"/>
        </w:trPr>
        <w:tc>
          <w:p>
            <w:pPr>
              <w:pStyle w:val="4"/>
            </w:pPr>
          </w:p>
        </w:tc>
        <w:tc>
          <w:tcPr>
            <w:gridSpan w:val="15"/>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gridCol w:w="3600"/>
              <w:gridCol w:w="4100"/>
            </w:tblGrid>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2980"/>
                    <w:gridCol w:w="2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下属子份额的销售名称</w:t>
                        </w:r>
                      </w:p>
                    </w:tc>
                    <w:tc>
                      <w:p>
                        <w:pPr>
                          <w:pStyle w:val="4"/>
                        </w:pPr>
                      </w:p>
                    </w:tc>
                  </w:tr>
                </w:tbl>
                <w:p>
                  <w:pPr>
                    <w:pStyle w:val="4"/>
                  </w:pPr>
                </w:p>
              </w:tc>
              <w:tc>
                <w:tcPr>
                  <w:tcBorders>
                    <w:top w:val="single" w:color="000000" w:sz="2" w:space="0"/>
                    <w:left w:val="single" w:color="000000" w:sz="2" w:space="0"/>
                    <w:bottom w:val="single" w:color="000000" w:sz="2" w:space="0"/>
                    <w:right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80" w:hRule="atLeast"/>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下属子份额的销售代码</w:t>
                        </w:r>
                      </w:p>
                    </w:tc>
                  </w:tr>
                </w:tbl>
                <w:p>
                  <w:pPr>
                    <w:pStyle w:val="4"/>
                  </w:pPr>
                </w:p>
              </w:tc>
              <w:tc>
                <w:tcPr>
                  <w:tcBorders>
                    <w:top w:val="single" w:color="000000" w:sz="2" w:space="0"/>
                    <w:left w:val="single" w:color="000000" w:sz="2" w:space="0"/>
                    <w:bottom w:val="single" w:color="000000" w:sz="2"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80" w:hRule="atLeast"/>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报告期末下属子份额的产品份额总数</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灵动20号陆陆通A</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9K212170</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218,295,299.26</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灵动20号陆陆通B</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9K212270</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80,532,375.07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金雪球灵动20号陆陆通</w:t>
                        </w:r>
                      </w:p>
                    </w:tc>
                  </w:tr>
                </w:tbl>
                <w:p>
                  <w:pPr>
                    <w:pStyle w:val="4"/>
                  </w:pPr>
                </w:p>
              </w:tc>
              <w:tc>
                <w:tcPr>
                  <w:tcBorders>
                    <w:top w:val="single" w:color="000000" w:sz="2" w:space="0"/>
                    <w:left w:val="single" w:color="000000" w:sz="2" w:space="0"/>
                    <w:bottom w:val="single" w:color="000000" w:sz="2" w:space="0"/>
                    <w:right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9K212370</w:t>
                        </w:r>
                      </w:p>
                    </w:tc>
                  </w:tr>
                </w:tbl>
                <w:p>
                  <w:pPr>
                    <w:pStyle w:val="4"/>
                  </w:pPr>
                </w:p>
              </w:tc>
              <w:tc>
                <w:tcPr>
                  <w:tcBorders>
                    <w:top w:val="single" w:color="000000" w:sz="2" w:space="0"/>
                    <w:left w:val="single" w:color="000000" w:sz="2" w:space="0"/>
                    <w:bottom w:val="single" w:color="000000" w:sz="2" w:space="0"/>
                  </w:tcBorders>
                  <w:shd w:val="clear" w:color="auto" w:fill="FFFFFF"/>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4100"/>
                  </w:tblGrid>
                  <w:tr>
                    <w:tblPrEx>
                      <w:tblCellMar>
                        <w:top w:w="0" w:type="dxa"/>
                        <w:left w:w="10" w:type="dxa"/>
                        <w:bottom w:w="0" w:type="dxa"/>
                        <w:right w:w="10" w:type="dxa"/>
                      </w:tblCellMar>
                    </w:tblPrEx>
                    <w:trPr>
                      <w:trHeight w:val="560" w:hRule="atLeast"/>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1,979,139.21</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3"/>
          <w:trHeight w:val="520" w:hRule="exact"/>
        </w:trPr>
        <w:tc>
          <w:p>
            <w:pPr>
              <w:pStyle w:val="4"/>
            </w:pPr>
          </w:p>
        </w:tc>
        <w:tc>
          <w:tcPr>
            <w:gridSpan w:val="6"/>
          </w:tcPr>
          <w:p>
            <w:pPr>
              <w:pStyle w:val="4"/>
            </w:pPr>
          </w:p>
        </w:tc>
        <w:tc>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3"/>
          <w:trHeight w:val="400" w:hRule="atLeast"/>
        </w:trPr>
        <w:tc>
          <w:p>
            <w:pPr>
              <w:pStyle w:val="4"/>
            </w:pPr>
          </w:p>
        </w:tc>
        <w:tc>
          <w:tcPr>
            <w:gridSpan w:val="6"/>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3" w:name="JR_PAGE_ANCHOR_0_4"/>
            <w:bookmarkEnd w:id="3"/>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兴银理财灵动全天候20号净值型理财产品2023年第一季度报告</w:t>
            </w: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gridSpan w:val="3"/>
          </w:tcPr>
          <w:p>
            <w:pPr>
              <w:pStyle w:val="4"/>
            </w:pPr>
          </w:p>
        </w:tc>
        <w:tc>
          <w:p>
            <w:pPr>
              <w:pStyle w:val="4"/>
            </w:pPr>
          </w:p>
        </w:tc>
      </w:tr>
      <w:tr>
        <w:tblPrEx>
          <w:tblCellMar>
            <w:top w:w="0" w:type="dxa"/>
            <w:left w:w="10" w:type="dxa"/>
            <w:bottom w:w="0" w:type="dxa"/>
            <w:right w:w="10" w:type="dxa"/>
          </w:tblCellMar>
        </w:tblPrEx>
        <w:trPr>
          <w:trHeight w:val="4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1240" w:hRule="atLeast"/>
        </w:trPr>
        <w:tc>
          <w:p>
            <w:pPr>
              <w:pStyle w:val="4"/>
            </w:pPr>
          </w:p>
        </w:tc>
        <w:tc>
          <w:tcPr>
            <w:gridSpan w:val="2"/>
          </w:tcPr>
          <w:p>
            <w:pPr>
              <w:pStyle w:val="4"/>
            </w:pPr>
          </w:p>
        </w:tc>
        <w:tc>
          <w:tcPr>
            <w:gridSpan w:val="11"/>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产品9K212170自成立日以来，累计净值增长率为6.1180%，年化累计净值增长率为2.9460%。</w:t>
            </w:r>
            <w:r>
              <w:rPr>
                <w:rFonts w:ascii="宋体" w:hAnsi="宋体" w:eastAsia="宋体" w:cs="宋体"/>
                <w:color w:val="000000"/>
                <w:sz w:val="21"/>
              </w:rPr>
              <w:br w:type="textWrapping"/>
            </w:r>
            <w:r>
              <w:rPr>
                <w:rFonts w:ascii="宋体" w:hAnsi="宋体" w:eastAsia="宋体" w:cs="宋体"/>
                <w:color w:val="000000"/>
                <w:sz w:val="21"/>
              </w:rPr>
              <w:t>产品9K212270自成立日以来，累计净值增长率为6.3700%，年化累计净值增长率为3.0673%。</w:t>
            </w:r>
            <w:r>
              <w:rPr>
                <w:rFonts w:ascii="宋体" w:hAnsi="宋体" w:eastAsia="宋体" w:cs="宋体"/>
                <w:color w:val="000000"/>
                <w:sz w:val="21"/>
              </w:rPr>
              <w:br w:type="textWrapping"/>
            </w:r>
            <w:r>
              <w:rPr>
                <w:rFonts w:ascii="宋体" w:hAnsi="宋体" w:eastAsia="宋体" w:cs="宋体"/>
                <w:color w:val="000000"/>
                <w:sz w:val="21"/>
              </w:rPr>
              <w:t>产品9K212370自成立日以来，累计净值增长率为6.1890%，年化累计净值增长率为2.9802%。</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6"/>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1.06186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1.06186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319,413,987.30</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2400" w:hRule="exact"/>
        </w:trPr>
        <w:tc>
          <w:p>
            <w:pPr>
              <w:pStyle w:val="4"/>
            </w:pPr>
          </w:p>
        </w:tc>
        <w:tc>
          <w:tcPr>
            <w:gridSpan w:val="2"/>
          </w:tcPr>
          <w:p>
            <w:pPr>
              <w:pStyle w:val="4"/>
            </w:pPr>
          </w:p>
        </w:tc>
        <w:tc>
          <w:tcPr>
            <w:gridSpan w:val="16"/>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2000"/>
              <w:gridCol w:w="2400"/>
              <w:gridCol w:w="2200"/>
              <w:gridCol w:w="23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销售代码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估值日期</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产品份额净值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产品累计净值</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产品资产净值</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9K212170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1.06118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1.06118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231,650,465.14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9K212270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1.06370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1.06370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85,661,887.05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9K212370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4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1.06189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1.06189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3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2,101,635.11</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3"/>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124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高翰昆先生，英国诺丁汉大学理学硕士毕业，华东理工大学工科理学本科毕业。13年固收、权益投资交易经验。2020年7月加入兴业银行理财子公司，任多策略团队投资经理。投资策略主要基于对经济运行周期及对监管当局货币及财政政策的研判，自上而下进行大类资产及板块配置。操作风格上积极主动，守正出奇。以配置思路为主，套利思路为辅。</w:t>
            </w:r>
          </w:p>
        </w:tc>
        <w:tc>
          <w:tcPr>
            <w:gridSpan w:val="3"/>
          </w:tcPr>
          <w:p>
            <w:pPr>
              <w:pStyle w:val="4"/>
            </w:pPr>
          </w:p>
        </w:tc>
        <w:tc>
          <w:p>
            <w:pPr>
              <w:pStyle w:val="4"/>
            </w:pPr>
          </w:p>
        </w:tc>
      </w:tr>
      <w:tr>
        <w:tblPrEx>
          <w:tblCellMar>
            <w:top w:w="0" w:type="dxa"/>
            <w:left w:w="10" w:type="dxa"/>
            <w:bottom w:w="0" w:type="dxa"/>
            <w:right w:w="10" w:type="dxa"/>
          </w:tblCellMar>
        </w:tblPrEx>
        <w:trPr>
          <w:trHeight w:val="7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3"/>
          </w:tcPr>
          <w:p>
            <w:pPr>
              <w:pStyle w:val="4"/>
            </w:pPr>
          </w:p>
        </w:tc>
        <w:tc>
          <w:p>
            <w:pPr>
              <w:pStyle w:val="4"/>
            </w:pPr>
          </w:p>
        </w:tc>
      </w:tr>
      <w:tr>
        <w:tblPrEx>
          <w:tblCellMar>
            <w:top w:w="0" w:type="dxa"/>
            <w:left w:w="10" w:type="dxa"/>
            <w:bottom w:w="0" w:type="dxa"/>
            <w:right w:w="10" w:type="dxa"/>
          </w:tblCellMar>
        </w:tblPrEx>
        <w:trPr>
          <w:trHeight w:val="4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19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2023年第一季度，权益市场方面，虽然还没创出春节前高点，但整体呈现震荡走高的态势。结构上更偏TMT等成长板块。债市去年年底大跌回调后，今年一季度整体震荡走高，表现较好，信用利差也再度收缩。本报告期内，本组合积极调整债券持仓，逐步降低衍生品对冲比例。此外对权益资产进行积极调整行业结构。本组合净值在本报告期内相对表现较好。展望今年二季度，稳经济诉求越发强烈，财政和货币政策向好，更有利权益市场，债市随着利差及绝对收益率的下降，风险也在积聚，策略上需谨慎对待。本组合将继续坚持既有投资策略，积极主动管理好大类资产的配置策略并精细化选择类属资产。</w:t>
            </w:r>
          </w:p>
        </w:tc>
        <w:tc>
          <w:tcPr>
            <w:gridSpan w:val="3"/>
          </w:tcPr>
          <w:p>
            <w:pPr>
              <w:pStyle w:val="4"/>
            </w:pPr>
          </w:p>
        </w:tc>
        <w:tc>
          <w:p>
            <w:pPr>
              <w:pStyle w:val="4"/>
            </w:pPr>
          </w:p>
        </w:tc>
      </w:tr>
      <w:tr>
        <w:tblPrEx>
          <w:tblCellMar>
            <w:top w:w="0" w:type="dxa"/>
            <w:left w:w="10" w:type="dxa"/>
            <w:bottom w:w="0" w:type="dxa"/>
            <w:right w:w="10" w:type="dxa"/>
          </w:tblCellMar>
        </w:tblPrEx>
        <w:trPr>
          <w:trHeight w:val="190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2"/>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4" w:name="JR_PAGE_ANCHOR_0_5"/>
            <w:bookmarkEnd w:id="4"/>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兴银理财灵动全天候20号净值型理财产品2023年第一季度报告</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8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c>
          <w:p>
            <w:pPr>
              <w:pStyle w:val="4"/>
            </w:pPr>
          </w:p>
        </w:tc>
      </w:tr>
      <w:tr>
        <w:tblPrEx>
          <w:tblCellMar>
            <w:top w:w="0" w:type="dxa"/>
            <w:left w:w="10" w:type="dxa"/>
            <w:bottom w:w="0" w:type="dxa"/>
            <w:right w:w="10" w:type="dxa"/>
          </w:tblCellMar>
        </w:tblPrEx>
        <w:trPr>
          <w:trHeight w:val="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4800" w:hRule="exact"/>
        </w:trPr>
        <w:tc>
          <w:p>
            <w:pPr>
              <w:pStyle w:val="4"/>
            </w:pPr>
          </w:p>
        </w:tc>
        <w:tc>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现金及银行存款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1.11</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23.05</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23.05</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金融衍生品</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5.63</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拆放同业及债券买入返售</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7.58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7.58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62.63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62.63</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5.63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100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2580" w:hRule="atLeast"/>
        </w:trPr>
        <w:tc>
          <w:p>
            <w:pPr>
              <w:pStyle w:val="4"/>
            </w:pPr>
          </w:p>
        </w:tc>
        <w:tc>
          <w:tcPr>
            <w:gridSpan w:val="15"/>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5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p>
            <w:pPr>
              <w:pStyle w:val="4"/>
            </w:pPr>
          </w:p>
        </w:tc>
        <w:tc>
          <w:p>
            <w:pPr>
              <w:pStyle w:val="4"/>
            </w:pPr>
          </w:p>
        </w:tc>
        <w:tc>
          <w:tcPr>
            <w:gridSpan w:val="16"/>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p>
            <w:pPr>
              <w:pStyle w:val="4"/>
            </w:pPr>
          </w:p>
        </w:tc>
      </w:tr>
      <w:tr>
        <w:tblPrEx>
          <w:tblCellMar>
            <w:top w:w="0" w:type="dxa"/>
            <w:left w:w="10" w:type="dxa"/>
            <w:bottom w:w="0" w:type="dxa"/>
            <w:right w:w="10" w:type="dxa"/>
          </w:tblCellMar>
        </w:tblPrEx>
        <w:trPr>
          <w:trHeight w:val="1840" w:hRule="exact"/>
        </w:trPr>
        <w:tc>
          <w:p>
            <w:pPr>
              <w:pStyle w:val="4"/>
            </w:pPr>
          </w:p>
        </w:tc>
        <w:tc>
          <w:p>
            <w:pPr>
              <w:pStyle w:val="4"/>
            </w:pPr>
          </w:p>
        </w:tc>
        <w:tc>
          <w:p>
            <w:pPr>
              <w:pStyle w:val="4"/>
            </w:pPr>
          </w:p>
        </w:tc>
        <w:tc>
          <w:tcPr>
            <w:gridSpan w:val="16"/>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21凤凰传媒MTN001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20,275,856.16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6.35</w:t>
                        </w:r>
                      </w:p>
                    </w:tc>
                  </w:tr>
                </w:tbl>
                <w:p>
                  <w:pPr>
                    <w:pStyle w:val="4"/>
                  </w:pPr>
                </w:p>
              </w:tc>
            </w:tr>
            <w:tr>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国泰利享中短债债券型证券投资基金</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17,069,641.79</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5.34</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140" w:hRule="exact"/>
        </w:trPr>
        <w:tc>
          <w:p>
            <w:pPr>
              <w:pStyle w:val="4"/>
            </w:pPr>
          </w:p>
        </w:tc>
        <w:tc>
          <w:p>
            <w:pPr>
              <w:pStyle w:val="4"/>
            </w:pPr>
          </w:p>
        </w:tc>
        <w:tc>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p>
            <w:pPr>
              <w:pStyle w:val="4"/>
            </w:pPr>
          </w:p>
        </w:tc>
        <w:tc>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兴银理财灵动全天候20号净值型理财产品2023年第一季度报告</w:t>
            </w: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800" w:hRule="exact"/>
        </w:trPr>
        <w:tc>
          <w:p>
            <w:pPr>
              <w:pStyle w:val="4"/>
            </w:pPr>
          </w:p>
        </w:tc>
        <w:tc>
          <w:tcPr>
            <w:gridSpan w:val="2"/>
          </w:tcPr>
          <w:p>
            <w:pPr>
              <w:pStyle w:val="4"/>
            </w:pPr>
          </w:p>
        </w:tc>
        <w:tc>
          <w:tcPr>
            <w:gridSpan w:val="16"/>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质押式逆回购</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15,004,582.96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4.70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光大保德信增利收益债券型证券投资基金</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11,032,647.59</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3.45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18临空投MTN001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10,618,800.41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3.32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20鼎力实业MTN001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10,373,444.52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3.25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20金龙湖MTN001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10,343,332.33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3.24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21成都高新MTN001A</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10,341,250.68</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3.24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20中兴国资PPN001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10,286,729.18</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3.22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20晋江国资MTN002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10,279,650.82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3.22</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56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5"/>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3"/>
          </w:tcPr>
          <w:p>
            <w:pPr>
              <w:pStyle w:val="4"/>
            </w:pPr>
          </w:p>
        </w:tc>
        <w:tc>
          <w:p>
            <w:pPr>
              <w:pStyle w:val="4"/>
            </w:pPr>
          </w:p>
        </w:tc>
      </w:tr>
      <w:tr>
        <w:tblPrEx>
          <w:tblCellMar>
            <w:top w:w="0" w:type="dxa"/>
            <w:left w:w="10" w:type="dxa"/>
            <w:bottom w:w="0" w:type="dxa"/>
            <w:right w:w="10" w:type="dxa"/>
          </w:tblCellMar>
        </w:tblPrEx>
        <w:trPr>
          <w:trHeight w:val="42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20常城建PPN003</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20川铁投MTN004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20临空港投MTN002</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20豫交运MTN006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21成都高新MTN001A</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21厦门市政MTN001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3"/>
          </w:tcPr>
          <w:p>
            <w:pPr>
              <w:pStyle w:val="4"/>
            </w:pPr>
          </w:p>
        </w:tc>
        <w:tc>
          <w:p>
            <w:pPr>
              <w:pStyle w:val="4"/>
            </w:pPr>
          </w:p>
        </w:tc>
      </w:tr>
      <w:tr>
        <w:tblPrEx>
          <w:tblCellMar>
            <w:top w:w="0" w:type="dxa"/>
            <w:left w:w="10" w:type="dxa"/>
            <w:bottom w:w="0" w:type="dxa"/>
            <w:right w:w="10" w:type="dxa"/>
          </w:tblCellMar>
        </w:tblPrEx>
        <w:trPr>
          <w:trHeight w:val="3000" w:hRule="exact"/>
        </w:trPr>
        <w:tc>
          <w:p>
            <w:pPr>
              <w:pStyle w:val="4"/>
            </w:pPr>
          </w:p>
        </w:tc>
        <w:tc>
          <w:tcPr>
            <w:gridSpan w:val="15"/>
            <w:tcMar>
              <w:top w:w="0" w:type="dxa"/>
              <w:left w:w="0" w:type="dxa"/>
              <w:bottom w:w="0" w:type="dxa"/>
              <w:right w:w="0" w:type="dxa"/>
            </w:tcMar>
          </w:tcPr>
          <w:tbl>
            <w:tblPr>
              <w:tblStyle w:val="2"/>
              <w:tblW w:w="10700" w:type="dxa"/>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兴业期货-兴合1号集合资产管理计划</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0.24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管理费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兴业期货有限公司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兴业期货-兴合4号集合资产管理计划</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0.21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管理费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兴业期货有限公司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9K212070</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兴业期货-兴合3号集合资产管理计划</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0.26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管理费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兴业期货有限公司</w:t>
                        </w:r>
                      </w:p>
                    </w:tc>
                  </w:tr>
                </w:tbl>
                <w:p>
                  <w:pPr>
                    <w:pStyle w:val="4"/>
                  </w:pPr>
                </w:p>
              </w:tc>
            </w:tr>
          </w:tbl>
          <w:p>
            <w:pPr>
              <w:pStyle w:val="4"/>
            </w:pPr>
            <w:bookmarkStart w:id="7" w:name="_GoBack"/>
            <w:bookmarkEnd w:id="7"/>
          </w:p>
        </w:tc>
        <w:tc>
          <w:tcPr>
            <w:gridSpan w:val="3"/>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1"/>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3"/>
          </w:tcPr>
          <w:p>
            <w:pPr>
              <w:pStyle w:val="4"/>
            </w:pPr>
          </w:p>
        </w:tc>
        <w:tc>
          <w:p>
            <w:pPr>
              <w:pStyle w:val="4"/>
            </w:pPr>
          </w:p>
        </w:tc>
      </w:tr>
      <w:tr>
        <w:tblPrEx>
          <w:tblCellMar>
            <w:top w:w="0" w:type="dxa"/>
            <w:left w:w="10" w:type="dxa"/>
            <w:bottom w:w="0" w:type="dxa"/>
            <w:right w:w="10" w:type="dxa"/>
          </w:tblCellMar>
        </w:tblPrEx>
        <w:trPr>
          <w:trHeight w:val="40" w:hRule="exact"/>
        </w:trPr>
        <w:tc>
          <w:p>
            <w:pPr>
              <w:pStyle w:val="4"/>
            </w:pPr>
          </w:p>
        </w:tc>
        <w:tc>
          <w:tcPr>
            <w:gridSpan w:val="2"/>
          </w:tcPr>
          <w:p>
            <w:pPr>
              <w:pStyle w:val="4"/>
            </w:pPr>
          </w:p>
        </w:tc>
        <w:tc>
          <w:tcPr>
            <w:gridSpan w:val="2"/>
          </w:tcPr>
          <w:p>
            <w:pPr>
              <w:pStyle w:val="4"/>
            </w:pPr>
          </w:p>
        </w:tc>
        <w:tc>
          <w:tcPr>
            <w:gridSpan w:val="2"/>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2"/>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6" w:name="JR_PAGE_ANCHOR_0_7"/>
            <w:bookmarkEnd w:id="6"/>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兴银理财灵动全天候20号净值型理财产品2023年第一季度报告</w:t>
            </w: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5"/>
            <w:tcBorders>
              <w:top w:val="single" w:color="000000" w:sz="8" w:space="0"/>
            </w:tcBorders>
            <w:shd w:val="clear" w:color="auto" w:fill="FFFFFF"/>
            <w:tcMar>
              <w:top w:w="0" w:type="dxa"/>
              <w:left w:w="0" w:type="dxa"/>
              <w:bottom w:w="0" w:type="dxa"/>
              <w:right w:w="0" w:type="dxa"/>
            </w:tcMar>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16"/>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16"/>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051010100101169789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兴银理财灵动全天候20号净值型理财产品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5"/>
            <w:tcMar>
              <w:top w:w="0" w:type="dxa"/>
              <w:left w:w="0" w:type="dxa"/>
              <w:bottom w:w="0" w:type="dxa"/>
              <w:right w:w="0" w:type="dxa"/>
            </w:tcMar>
            <w:vAlign w:val="top"/>
          </w:tcPr>
          <w:p>
            <w:pPr>
              <w:jc w:val="right"/>
            </w:pPr>
            <w:r>
              <w:rPr>
                <w:rFonts w:ascii="宋体" w:hAnsi="宋体" w:eastAsia="宋体" w:cs="宋体"/>
                <w:color w:val="000000"/>
                <w:sz w:val="21"/>
              </w:rPr>
              <w:t>2023年4月23日</w:t>
            </w:r>
          </w:p>
        </w:tc>
        <w:tc>
          <w:tcPr>
            <w:gridSpan w:val="3"/>
          </w:tcPr>
          <w:p>
            <w:pPr>
              <w:pStyle w:val="4"/>
            </w:pPr>
          </w:p>
        </w:tc>
        <w:tc>
          <w:p>
            <w:pPr>
              <w:pStyle w:val="4"/>
            </w:pPr>
          </w:p>
        </w:tc>
      </w:tr>
      <w:tr>
        <w:tblPrEx>
          <w:tblCellMar>
            <w:top w:w="0" w:type="dxa"/>
            <w:left w:w="10" w:type="dxa"/>
            <w:bottom w:w="0" w:type="dxa"/>
            <w:right w:w="10" w:type="dxa"/>
          </w:tblCellMar>
        </w:tblPrEx>
        <w:trPr>
          <w:trHeight w:val="10080" w:hRule="exact"/>
        </w:trPr>
        <w:tc>
          <w:p>
            <w:pPr>
              <w:pStyle w:val="4"/>
            </w:pPr>
          </w:p>
        </w:tc>
        <w:tc>
          <w:tcPr>
            <w:gridSpan w:val="2"/>
          </w:tcPr>
          <w:p>
            <w:pPr>
              <w:pStyle w:val="4"/>
            </w:pPr>
          </w:p>
        </w:tc>
        <w:tc>
          <w:tcPr>
            <w:gridSpan w:val="4"/>
          </w:tcPr>
          <w:p>
            <w:pPr>
              <w:pStyle w:val="4"/>
            </w:pPr>
          </w:p>
        </w:tc>
        <w:tc>
          <w:tcPr>
            <w:gridSpan w:val="3"/>
          </w:tcPr>
          <w:p>
            <w:pPr>
              <w:pStyle w:val="4"/>
            </w:pPr>
          </w:p>
        </w:tc>
        <w:tc>
          <w:tcPr>
            <w:gridSpan w:val="2"/>
          </w:tcPr>
          <w:p>
            <w:pPr>
              <w:pStyle w:val="4"/>
            </w:pPr>
          </w:p>
        </w:tc>
        <w:tc>
          <w:tcPr>
            <w:gridSpan w:val="4"/>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4"/>
          </w:tcPr>
          <w:p>
            <w:pPr>
              <w:pStyle w:val="4"/>
            </w:pPr>
          </w:p>
        </w:tc>
        <w:tc>
          <w:tcPr>
            <w:gridSpan w:val="3"/>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3"/>
          </w:tcPr>
          <w:p>
            <w:pPr>
              <w:pStyle w:val="4"/>
            </w:pPr>
          </w:p>
        </w:tc>
        <w:tc>
          <w:p>
            <w:pPr>
              <w:pStyle w:val="4"/>
            </w:pPr>
          </w:p>
        </w:tc>
      </w:tr>
    </w:tbl>
    <w:p/>
    <w:sectPr>
      <w:pgSz w:w="11900" w:h="16840"/>
      <w:pgMar w:top="600" w:right="56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cumentProtection w:enforcement="0"/>
  <w:defaultTabStop w:val="800"/>
  <w:compat>
    <w:useFELayout/>
    <w:splitPgBreakAndParaMark/>
    <w:compatSetting w:name="compatibilityMode" w:uri="http://schemas.microsoft.com/office/word" w:val="12"/>
  </w:compat>
  <w:rsids>
    <w:rsidRoot w:val="00000000"/>
    <w:rsid w:val="062355E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2023-04-21T02:50:32Z</dcterms:created>
  <dc:creator>User</dc:creator>
  <cp:lastModifiedBy>cib</cp:lastModifiedBy>
  <dcterms:modified xsi:type="dcterms:W3CDTF">2023-04-21T02:51:20Z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