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兴银理财增盈优选20号净值型理财产品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601,000,000.00份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4.50%--7.00%/4.50%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产品9K220020自成立日以来，累计净值增长率为6.4880%，年化累计净值增长率为3.3638%。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1.06488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1.06488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639,995,229.05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整体呈现股涨债跌的格局，股债跷跷板效应有所体现。债券方面，一季度初对经济复苏预期较强，之前对地产支持的政策和疫情政策的优化，使得市场对地产投资和消费复苏有较强的预期。年初加大信贷投放也让市场对一季度金融数据预期较高。加上去年底利率大幅上行的伤痕效应，债市表现的易上难下。但随着两会逐渐临近后发现政策没有持续宽松，习主席也要求“不大干快上”，整个市场在前期预计较足的情况下有点落空。3月起债市开始走强，10年利率自高点回落，后又有央行降准，叠加对经济复苏力度不足的担忧，基本回落至接近年初的水平。一季债券策略采用适当错配的策略。一般产品期限+0.5权益方面，自去年12月下旬市场见底反弹后，整体呈现上涨格局，春节前信创，光新，周期等上涨较多，春节后市场主要集中在中特估和AI相关主题，TMT大幅上涨，主导市场行情。一季度权益仓位保持标准位置偏高一点点，。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7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中原财富-成长653期-象屿股份债权投资一号集合资金信托计划（厦门象屿股份有限公司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300,559,235.87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31,046,951.26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23,848,182.66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20,595,389.04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21海垦V1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20,548,511.23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22京投02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20,415,964.38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20,377,997.81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21鲁西化工MTN001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18,621,275.40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14,543,980.32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13,363,149.12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兴银理财增盈优选20号净值型理财产品</w:t>
                        </w:r>
                      </w:p>
                    </w:tc>
                  </w:tr>
                </w:tbl>
                <w:p>
                  <w:pPr>
                    <w:pStyle w:val="EMPTY_CELL_STYLE"/>
                  </w:pPr>
                </w:p>
              </w:tc>
            </w:tr>
          </w:tbl>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