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tiff" ContentType="image/tif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w:body>
    <w:tbl>
      <w:tblPr>
        <w:tblLayout w:type="fixed"/>
      </w:tblPr>
      <w:tblGrid>
        <w:gridCol w:w="1"/>
        <w:gridCol w:w="3020"/>
        <w:gridCol w:w="380"/>
        <w:gridCol w:w="2000"/>
        <w:gridCol w:w="2000"/>
        <w:gridCol w:w="2620"/>
        <w:gridCol w:w="680"/>
        <w:gridCol w:w="1"/>
      </w:tblGrid>
      <w:tr>
        <w:trPr>
          <w:trHeight w:hRule="exact" w:val="0"/>
        </w:trPr>
        <w:tc>
          <w:tcPr>
     </w:tcPr>
          <w:p>
            <w:pPr>
              <w:pStyle w:val="EMPTY_CELL_STYLE"/>
            </w:pPr>
            <w:bookmarkStart w:id="0" w:name="JR_PAGE_ANCHOR_0_1"/>
            <w:bookmarkEnd w:id="0"/>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兴银理财灵动全天候8号净值型理财产品2023年第一季度报告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20"/>
        </w:trPr>
        <w:tc>
          <w:tcPr>
     </w:tcPr>
          <w:p>
            <w:pPr>
              <w:pStyle w:val="EMPTY_CELL_STYLE"/>
            </w:pPr>
          </w:p>
        </w:tc>
        <w:tc>
          <w:tcPr>
            <w:gridSpan w:val="6"/>
            <w:tcMar>
              <w:top w:w="0" w:type="dxa"/>
              <w:left w:w="0" w:type="dxa"/>
              <w:bottom w:w="0" w:type="dxa"/>
              <w:right w:w="0" w:type="dxa"/>
            </w:tcMar>
            <w:vAlign w:val="center"/>
          </w:tcPr>
          <w:p>
            <w:pPr>
              <w:ind/>
              <w:jc w:val="center"/>
              <w:spacing w:lineRule="auto" w:line="360" w:after="0" w:before="0"/>
            </w:pPr>
            <w:r>
              <w:rPr>
                <w:rFonts w:ascii="宋体" w:hAnsi="宋体" w:eastAsia="宋体" w:cs="宋体"/>
                <w:color w:val="000000"/>
                <w:sz w:val="32"/>
                <w:b w:val="true"/>
              </w:rPr>
              <w:t xml:space="preserve">兴银理财灵动全天候8号净值型理财产品</w:t>
              <w:br/>
              <w:t xml:space="preserve">2023年第一季度报告</w:t>
            </w:r>
          </w:p>
        </w:tc>
        <w:tc>
          <w:tcPr>
     </w:tcPr>
          <w:p>
            <w:pPr>
              <w:pStyle w:val="EMPTY_CELL_STYLE"/>
            </w:pPr>
          </w:p>
        </w:tc>
      </w:tr>
      <w:tr>
        <w:trPr>
          <w:trHeight w:hRule="exact" w:val="6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理财产品管理人：兴银理财有限责任公司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理财产品托管人：兴业银行股份有限公司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报告送出日期：2023年4月23日</w:t>
            </w:r>
          </w:p>
        </w:tc>
        <w:tc>
          <w:tcPr>
     </w:tcPr>
          <w:p>
            <w:pPr>
              <w:pStyle w:val="EMPTY_CELL_STYLE"/>
            </w:pPr>
          </w:p>
        </w:tc>
        <w:tc>
          <w:tcPr>
     </w:tcPr>
          <w:p>
            <w:pPr>
              <w:pStyle w:val="EMPTY_CELL_STYLE"/>
            </w:pPr>
          </w:p>
        </w:tc>
      </w:tr>
      <w:tr>
        <w:trPr>
          <w:trHeight w:hRule="exact" w:val="2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1/</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100"/>
        <w:gridCol w:w="3300"/>
        <w:gridCol w:w="1000"/>
        <w:gridCol w:w="1000"/>
        <w:gridCol w:w="1000"/>
        <w:gridCol w:w="1000"/>
        <w:gridCol w:w="3100"/>
        <w:gridCol w:w="200"/>
        <w:gridCol w:w="1"/>
      </w:tblGrid>
      <w:tr>
        <w:trPr>
          <w:trHeight w:hRule="exact" w:val="0"/>
        </w:trPr>
        <w:tc>
          <w:tcPr>
     </w:tcPr>
          <w:p>
            <w:pPr>
              <w:pStyle w:val="EMPTY_CELL_STYLE"/>
              <w:pageBreakBefore/>
            </w:pPr>
            <w:bookmarkStart w:id="1" w:name="JR_PAGE_ANCHOR_0_2"/>
            <w:bookmarkEnd w:id="1"/>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兴银理财灵动全天候8号净值型理财产品2023年第一季度报告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center"/>
            </w:pPr>
            <w:r>
              <w:rPr>
                <w:rFonts w:ascii="宋体" w:hAnsi="宋体" w:eastAsia="宋体" w:cs="宋体"/>
                <w:color w:val="000000"/>
                <w:sz w:val="30"/>
                <w:b w:val="true"/>
              </w:rPr>
              <w:t xml:space="preserve">目  录</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84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jc w:val="left"/>
              <w:spacing w:lineRule="auto" w:line="336" w:after="0" w:before="0"/>
            </w:pPr>
            <w:r>
              <w:rPr>
                <w:rFonts w:ascii="宋体" w:hAnsi="宋体" w:eastAsia="宋体" w:cs="宋体"/>
                <w:color w:val="000000"/>
                <w:sz w:val="21"/>
              </w:rPr>
              <w:t xml:space="preserve">§ 一. 重要提示</w:t>
              <w:br/>
              <w:t xml:space="preserve">§ 二. 产品基本信息</w:t>
              <w:br/>
              <w:t xml:space="preserve">§ 三. 产品收益表现</w:t>
              <w:br/>
              <w:t xml:space="preserve">§ 四. 产品投资经理简介</w:t>
              <w:br/>
              <w:t xml:space="preserve">§ 五. 报告期内产品投资策略</w:t>
              <w:br/>
              <w:t xml:space="preserve">§ 六. 投资组合情况</w:t>
              <w:br/>
              <w:t xml:space="preserve">     1. 报告期末资产组合情况</w:t>
              <w:br/>
              <w:t xml:space="preserve">     2. 报告期末杠杆融资情况</w:t>
              <w:br/>
              <w:t xml:space="preserve">     3. 投资组合的流动性风险分析</w:t>
              <w:br/>
              <w:t xml:space="preserve">     4. 报告期末资产持仓前十基本信息</w:t>
              <w:br/>
              <w:t xml:space="preserve">     5. 报告期间关联交易情况</w:t>
              <w:br/>
              <w:t xml:space="preserve">     6. 投资账户信息</w:t>
            </w:r>
          </w:p>
        </w:tc>
        <w:tc>
          <w:tcPr>
     </w:tcPr>
          <w:p>
            <w:pPr>
              <w:pStyle w:val="EMPTY_CELL_STYLE"/>
            </w:pPr>
          </w:p>
        </w:tc>
        <w:tc>
          <w:tcPr>
     </w:tcPr>
          <w:p>
            <w:pPr>
              <w:pStyle w:val="EMPTY_CELL_STYLE"/>
            </w:pPr>
          </w:p>
        </w:tc>
      </w:tr>
      <w:tr>
        <w:trPr>
          <w:trHeight w:hRule="exact" w:val="6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2/</w:t>
            </w:r>
          </w:p>
        </w:tc>
        <w:tc>
          <w:tcPr>
            <w:gridSpan w:val="2"/>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3400"/>
        <w:gridCol w:w="740"/>
        <w:gridCol w:w="1260"/>
        <w:gridCol w:w="2000"/>
        <w:gridCol w:w="3300"/>
        <w:gridCol w:w="1"/>
      </w:tblGrid>
      <w:tr>
        <w:trPr>
          <w:trHeight w:hRule="exact" w:val="0"/>
        </w:trPr>
        <w:tc>
          <w:tcPr>
     </w:tcPr>
          <w:p>
            <w:pPr>
              <w:pStyle w:val="EMPTY_CELL_STYLE"/>
              <w:pageBreakBefore/>
            </w:pPr>
            <w:bookmarkStart w:id="2" w:name="JR_PAGE_ANCHOR_0_3"/>
            <w:bookmarkEnd w:id="2"/>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兴银理财灵动全天候8号净值型理财产品2023年第一季度报告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一. 重要提示</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80"/>
        </w:trPr>
        <w:tc>
          <w:tcPr>
     </w:tcPr>
          <w:p>
            <w:pPr>
              <w:pStyle w:val="EMPTY_CELL_STYLE"/>
            </w:pPr>
          </w:p>
        </w:tc>
        <w:tc>
          <w:tcPr>
            <w:gridSpan w:val="5"/>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vAlign w:val="top"/>
          </w:tcPr>
          <w:p>
            <w:pPr>
              <w:ind/>
              <w:jc w:val="left"/>
              <w:spacing w:lineRule="auto" w:line="360" w:after="0" w:before="0"/>
            </w:pPr>
            <w:r>
              <w:rPr>
                <w:rFonts w:ascii="仿宋" w:hAnsi="仿宋" w:eastAsia="仿宋" w:cs="仿宋"/>
                <w:color w:val="000000"/>
                <w:sz w:val="21"/>
              </w:rPr>
              <w:br/>
              <w:t xml:space="preserve"> 1. 温馨提醒：理财非存款，产品有风险，投资需谨慎！</w:t>
              <w:br/>
              <w:t xml:space="preserve"> 2. 理财信息可供参考，详情请咨询理财经理，或在“中国理财网（www.chinawealth.com.cn）”查询该产品相关信息。</w:t>
              <w:br/>
              <w:t xml:space="preserve"> 3. 兴银理财有限责任公司保留对所有文字说明的最终解释权。</w:t>
              <w:br/>
              <w:t xml:space="preserve"> 4. 投资组合情况（期末资产组合情况、杠杆比例、资产前十持仓等）详情请理财持有人登录网银后进行查询。</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二. 产品基本情况</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产品名称</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兴银理财灵动全天候8号净值型理财产品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产品代码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9K212058</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全国银行业理财信息登记系统登记编码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Z7002020000196</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产品运作方式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开放式</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产品募集方式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公募</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投资类型</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固定收益类</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报告期末产品份额总额</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136,830,869.64份</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业绩比较基准/业绩报酬计提基准</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3.00%--6.50%/--</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投资币种</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人民币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风险等级</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R3</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产品管理人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兴银理财有限责任公司</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产品托管人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兴业银行股份有限公司</w:t>
            </w:r>
          </w:p>
        </w:tc>
        <w:tc>
          <w:tcPr>
     </w:tcPr>
          <w:p>
            <w:pPr>
              <w:pStyle w:val="EMPTY_CELL_STYLE"/>
            </w:pPr>
          </w:p>
        </w:tc>
      </w:tr>
      <w:tr>
        <w:trPr>
          <w:trHeight w:hRule="exact" w:val="2400"/>
        </w:trPr>
        <w:tc>
          <w:tcPr>
     </w:tcPr>
          <w:p>
            <w:pPr>
              <w:pStyle w:val="EMPTY_CELL_STYLE"/>
            </w:pPr>
          </w:p>
        </w:tc>
        <w:tc>
          <w:tcPr>
            <w:gridSpan w:val="5"/>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0" w:type="dxa"/>
              <w:right w:w="0" w:type="dxa"/>
            </w:tcMar>
          </w:tcPr>
          <w:tbl>
            <w:tblPr>
              <w:tblLayout w:type="fixed"/>
            </w:tblPr>
            <w:tblGrid>
              <w:gridCol w:w="3000"/>
              <w:gridCol w:w="3600"/>
              <w:gridCol w:w="4100"/>
            </w:tblGrid>
            <w:tr>
              <w:trPr>
                <w:trHeight w:hRule="exact" w:val="580"/>
              </w:trPr>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2980"/>
                    <w:gridCol w:w="20"/>
                  </w:tblGrid>
                  <w:tr>
                    <w:trPr>
                      <w:trHeight w:hRule="atLeast" w:val="580"/>
                    </w:trPr>
                    <w:tc>
                      <w:tcPr>
                        <w:tcMar>
                          <w:top w:w="0" w:type="dxa"/>
                          <w:left w:w="0" w:type="dxa"/>
                          <w:bottom w:w="0" w:type="dxa"/>
                          <w:right w:w="0" w:type="dxa"/>
                        </w:tcMar>
                        <w:vAlign w:val="center"/>
                      </w:tcPr>
                      <w:p>
                        <w:pPr>
                          <w:ind w:firstLine="0"/>
                          <w:jc w:val="center"/>
                        </w:pPr>
                        <w:r>
                          <w:rPr>
                            <w:rFonts w:ascii="宋体" w:hAnsi="宋体" w:eastAsia="宋体" w:cs="宋体"/>
                            <w:color w:val="000000"/>
                            <w:sz w:val="21"/>
                          </w:rPr>
                          <w:t xml:space="preserve">下属子份额的销售名称</w:t>
                        </w:r>
                      </w:p>
                    </w:tc>
                    <w:tc>
                      <w:tcPr>
     </w:tcPr>
                      <w:p>
                        <w:pPr>
                          <w:pStyle w:val="EMPTY_CELL_STYLE"/>
                        </w:pPr>
                      </w:p>
                    </w:tc>
                  </w:tr>
                </w:tbl>
                <w:p>
                  <w:pPr>
                    <w:pStyle w:val="EMPTY_CELL_STYLE"/>
                  </w:pPr>
                </w:p>
              </w:tc>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80"/>
                    </w:trPr>
                    <w:tc>
                      <w:tcPr>
                        <w:tcMar>
                          <w:top w:w="0" w:type="dxa"/>
                          <w:left w:w="0" w:type="dxa"/>
                          <w:bottom w:w="0" w:type="dxa"/>
                          <w:right w:w="0" w:type="dxa"/>
                        </w:tcMar>
                        <w:vAlign w:val="center"/>
                      </w:tcPr>
                      <w:p>
                        <w:pPr>
                          <w:ind w:firstLine="200"/>
                          <w:jc w:val="center"/>
                        </w:pPr>
                        <w:r>
                          <w:rPr>
                            <w:rFonts w:ascii="宋体" w:hAnsi="宋体" w:eastAsia="宋体" w:cs="宋体"/>
                            <w:color w:val="000000"/>
                            <w:sz w:val="21"/>
                          </w:rPr>
                          <w:t xml:space="preserve">下属子份额的销售代码</w:t>
                        </w:r>
                      </w:p>
                    </w:tc>
                  </w:tr>
                </w:tbl>
                <w:p>
                  <w:pPr>
                    <w:pStyle w:val="EMPTY_CELL_STYLE"/>
                  </w:pPr>
                </w:p>
              </w:tc>
              <w:tc>
                <w:tcPr>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80"/>
                    </w:trPr>
                    <w:tc>
                      <w:tcPr>
                        <w:tcMar>
                          <w:top w:w="0" w:type="dxa"/>
                          <w:left w:w="0" w:type="dxa"/>
                          <w:bottom w:w="0" w:type="dxa"/>
                          <w:right w:w="20" w:type="dxa"/>
                        </w:tcMar>
                        <w:vAlign w:val="center"/>
                      </w:tcPr>
                      <w:p>
                        <w:pPr>
                          <w:ind w:firstLine="200"/>
                          <w:jc w:val="center"/>
                        </w:pPr>
                        <w:r>
                          <w:rPr>
                            <w:rFonts w:ascii="宋体" w:hAnsi="宋体" w:eastAsia="宋体" w:cs="宋体"/>
                            <w:color w:val="000000"/>
                            <w:sz w:val="21"/>
                          </w:rPr>
                          <w:t xml:space="preserve">报告期末下属子份额的产品份额总数</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灵动8号年年升A</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9K212158</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104,261,320.97</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灵动8号年年升B</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9K212258</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28,626,018.93</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金雪球灵动8号年年升</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9K212358</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3,943,529.74</w:t>
                        </w:r>
                      </w:p>
                    </w:tc>
                  </w:tr>
                </w:tbl>
                <w:p>
                  <w:pPr>
                    <w:pStyle w:val="EMPTY_CELL_STYLE"/>
                  </w:pPr>
                </w:p>
              </w:tc>
            </w:tr>
          </w:tbl>
          <w:p>
            <w:pPr>
              <w:pStyle w:val="EMPTY_CELL_STYLE"/>
            </w:pPr>
          </w:p>
        </w:tc>
        <w:tc>
          <w:tcPr>
     </w:tcPr>
          <w:p>
            <w:pPr>
              <w:pStyle w:val="EMPTY_CELL_STYLE"/>
            </w:pPr>
          </w:p>
        </w:tc>
      </w:tr>
      <w:tr>
        <w:trPr>
          <w:trHeight w:hRule="exact" w:val="5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3/</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r>
    </w:tbl>
    <w:tbl>
      <w:tblPr>
        <w:tblLayout w:type="fixed"/>
      </w:tblPr>
      <w:tblGrid>
        <w:gridCol w:w="1"/>
        <w:gridCol w:w="20"/>
        <w:gridCol w:w="20"/>
        <w:gridCol w:w="3360"/>
        <w:gridCol w:w="2000"/>
        <w:gridCol w:w="2000"/>
        <w:gridCol w:w="2840"/>
        <w:gridCol w:w="460"/>
        <w:gridCol w:w="20"/>
        <w:gridCol w:w="20"/>
        <w:gridCol w:w="1"/>
      </w:tblGrid>
      <w:tr>
        <w:trPr>
          <w:trHeight w:hRule="exact" w:val="0"/>
        </w:trPr>
        <w:tc>
          <w:tcPr>
     </w:tcPr>
          <w:p>
            <w:pPr>
              <w:pStyle w:val="EMPTY_CELL_STYLE"/>
              <w:pageBreakBefore/>
            </w:pPr>
            <w:bookmarkStart w:id="3" w:name="JR_PAGE_ANCHOR_0_4"/>
            <w:bookmarkEnd w:id="3"/>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7"/>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兴银理财灵动全天候8号净值型理财产品2023年第一季度报告</w:t>
            </w: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7"/>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三. 产品收益表现</w:t>
            </w:r>
          </w:p>
        </w:tc>
        <w:tc>
          <w:tcP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124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firstLine="0"/>
              <w:jc w:val="left"/>
              <w:spacing w:lineRule="exact" w:line="320" w:after="0" w:before="0"/>
            </w:pPr>
            <w:r>
              <w:rPr>
                <w:rFonts w:ascii="宋体" w:hAnsi="宋体" w:eastAsia="宋体" w:cs="宋体"/>
                <w:color w:val="000000"/>
                <w:sz w:val="21"/>
              </w:rPr>
              <w:t xml:space="preserve">产品9K212158自成立日以来，累计净值增长率为4.8370%，年化累计净值增长率为2.1297%。</w:t>
              <w:br/>
              <w:t xml:space="preserve">产品9K212258自成立日以来，累计净值增长率为5.1300%，年化累计净值增长率为2.2587%。</w:t>
              <w:br/>
              <w:t xml:space="preserve">产品9K212358自成立日以来，累计净值增长率为6.3990%，年化累计净值增长率为2.8174%。</w:t>
              <w:br/>
              <w:t xml:space="preserve">报告期末，产品净值表现具体如下：</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1200"/>
        </w:trPr>
        <w:tc>
          <w:tcPr>
     </w:tcPr>
          <w:p>
            <w:pPr>
              <w:pStyle w:val="EMPTY_CELL_STYLE"/>
            </w:pPr>
          </w:p>
        </w:tc>
        <w:tc>
          <w:tcPr>
     </w:tcPr>
          <w:p>
            <w:pPr>
              <w:pStyle w:val="EMPTY_CELL_STYLE"/>
            </w:pPr>
          </w:p>
        </w:tc>
        <w:tc>
          <w:tcPr>
     </w:tcPr>
          <w:p>
            <w:pPr>
              <w:pStyle w:val="EMPTY_CELL_STYLE"/>
            </w:pPr>
          </w:p>
        </w:tc>
        <w:tc>
          <w:tcPr>
            <w:gridSpan w:val="7"/>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9K212058</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2023年3月31日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1.04944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1.04944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143,595,194.90</w:t>
                        </w:r>
                      </w:p>
                    </w:tc>
                  </w:tr>
                </w:tbl>
                <w:p>
                  <w:pPr>
                    <w:pStyle w:val="EMPTY_CELL_STYLE"/>
                  </w:pPr>
                </w:p>
              </w:tc>
            </w:tr>
          </w:tbl>
          <w:p>
            <w:pPr>
              <w:pStyle w:val="EMPTY_CELL_STYLE"/>
            </w:pPr>
          </w:p>
        </w:tc>
        <w:tc>
          <w:tcPr>
     </w:tcPr>
          <w:p>
            <w:pPr>
              <w:pStyle w:val="EMPTY_CELL_STYLE"/>
            </w:pPr>
          </w:p>
        </w:tc>
      </w:tr>
      <w:tr>
        <w:trPr>
          <w:trHeight w:hRule="exact" w:val="2400"/>
        </w:trPr>
        <w:tc>
          <w:tcPr>
     </w:tcPr>
          <w:p>
            <w:pPr>
              <w:pStyle w:val="EMPTY_CELL_STYLE"/>
            </w:pPr>
          </w:p>
        </w:tc>
        <w:tc>
          <w:tcPr>
     </w:tcPr>
          <w:p>
            <w:pPr>
              <w:pStyle w:val="EMPTY_CELL_STYLE"/>
            </w:pPr>
          </w:p>
        </w:tc>
        <w:tc>
          <w:tcPr>
     </w:tcPr>
          <w:p>
            <w:pPr>
              <w:pStyle w:val="EMPTY_CELL_STYLE"/>
            </w:pPr>
          </w:p>
        </w:tc>
        <w:tc>
          <w:tcPr>
            <w:gridSpan w:val="7"/>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销售代码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9K212158</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2023年3月31日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1.04837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1.04837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109,304,833.51</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9K212258</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2023年3月31日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1.05130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1.05130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30,094,496.42</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9K212358</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2023年3月31日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1.06399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1.06399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4,195,864.97</w:t>
                        </w:r>
                      </w:p>
                    </w:tc>
                  </w:tr>
                </w:tbl>
                <w:p>
                  <w:pPr>
                    <w:pStyle w:val="EMPTY_CELL_STYLE"/>
                  </w:pPr>
                </w:p>
              </w:tc>
            </w:tr>
          </w:tbl>
          <w:p>
            <w:pPr>
              <w:pStyle w:val="EMPTY_CELL_STYLE"/>
            </w:pPr>
          </w:p>
        </w:tc>
        <w:tc>
          <w:tcPr>
     </w:tcPr>
          <w:p>
            <w:pPr>
              <w:pStyle w:val="EMPTY_CELL_STYLE"/>
            </w:pPr>
          </w:p>
        </w:tc>
      </w:tr>
      <w:tr>
        <w:trPr>
          <w:trHeight w:hRule="exact" w:val="5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四. 产品投资经理简介</w:t>
            </w:r>
          </w:p>
        </w:tc>
        <w:tc>
          <w:tcPr>
     </w:tcPr>
          <w:p>
            <w:pPr>
              <w:pStyle w:val="EMPTY_CELL_STYLE"/>
            </w:pP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900"/>
        </w:trPr>
        <w:tc>
          <w:tcPr>
     </w:tcPr>
          <w:p>
            <w:pPr>
              <w:pStyle w:val="EMPTY_CELL_STYLE"/>
            </w:pPr>
          </w:p>
        </w:tc>
        <w:tc>
          <w:tcPr>
            <w:gridSpan w:val="7"/>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薛纪晔先生，香港中文大学管理学博士，清华大学数学系硕士和本科，5年资产管理和衍生品研究经验。2018年加入兴业银行资产管理部担任投资经理。曾任中国金融期货交易所金融期货博士后研究员，在衍生品投资研究方面具有丰富经验。</w:t>
            </w:r>
          </w:p>
        </w:tc>
        <w:tc>
          <w:tcPr>
     </w:tcPr>
          <w:p>
            <w:pPr>
              <w:pStyle w:val="EMPTY_CELL_STYLE"/>
            </w:pPr>
          </w:p>
        </w:tc>
        <w:tc>
          <w:tcPr>
     </w:tcPr>
          <w:p>
            <w:pPr>
              <w:pStyle w:val="EMPTY_CELL_STYLE"/>
            </w:pP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五. 报告期内产品的投资策略和运作分析</w:t>
            </w:r>
          </w:p>
        </w:tc>
        <w:tc>
          <w:tcPr>
     </w:tcPr>
          <w:p>
            <w:pPr>
              <w:pStyle w:val="EMPTY_CELL_STYLE"/>
            </w:pP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1240"/>
        </w:trPr>
        <w:tc>
          <w:tcPr>
     </w:tcPr>
          <w:p>
            <w:pPr>
              <w:pStyle w:val="EMPTY_CELL_STYLE"/>
            </w:pPr>
          </w:p>
        </w:tc>
        <w:tc>
          <w:tcPr>
            <w:gridSpan w:val="7"/>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本产品为股债混产品，权益中枢维持在8%。一季度权益仓位未做大的调整，基本逢低买入宽基指数，逢高卖出。目前仓位在6%。债券部分一季度操作较为积极，平均杠杆120%，平均久期1.4。同展望下一阶段，对股票谨慎乐观，目前仍然处于复苏的初期，居民整体的资产负债表修复需要时间，这个可能需要1-2个季度来完成。二季度债券可以适当乐观一些，高收益中等杠杆的票息策略会比较不错。</w:t>
            </w:r>
          </w:p>
        </w:tc>
        <w:tc>
          <w:tcPr>
     </w:tcPr>
          <w:p>
            <w:pPr>
              <w:pStyle w:val="EMPTY_CELL_STYLE"/>
            </w:pPr>
          </w:p>
        </w:tc>
        <w:tc>
          <w:tcPr>
     </w:tcPr>
          <w:p>
            <w:pPr>
              <w:pStyle w:val="EMPTY_CELL_STYLE"/>
            </w:pPr>
          </w:p>
        </w:tc>
        <w:tc>
          <w:tcPr>
     </w:tcPr>
          <w:p>
            <w:pPr>
              <w:pStyle w:val="EMPTY_CELL_STYLE"/>
            </w:pPr>
          </w:p>
        </w:tc>
      </w:tr>
      <w:tr>
        <w:trPr>
          <w:trHeight w:hRule="exact" w:val="5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六. 投资组合情况</w:t>
            </w: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7"/>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1.报告期末产品资产组合情况</w:t>
            </w:r>
          </w:p>
        </w:tc>
        <w:tc>
          <w:tcPr>
     </w:tcPr>
          <w:p>
            <w:pPr>
              <w:pStyle w:val="EMPTY_CELL_STYLE"/>
            </w:pPr>
          </w:p>
        </w:tc>
        <w:tc>
          <w:tcPr>
     </w:tcPr>
          <w:p>
            <w:pPr>
              <w:pStyle w:val="EMPTY_CELL_STYLE"/>
            </w:pPr>
          </w:p>
        </w:tc>
      </w:tr>
      <w:tr>
        <w:trPr>
          <w:trHeight w:hRule="exact" w:val="11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4/</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20"/>
        <w:gridCol w:w="3360"/>
        <w:gridCol w:w="2000"/>
        <w:gridCol w:w="2000"/>
        <w:gridCol w:w="3300"/>
        <w:gridCol w:w="20"/>
        <w:gridCol w:w="20"/>
        <w:gridCol w:w="1"/>
      </w:tblGrid>
      <w:tr>
        <w:trPr>
          <w:trHeight w:hRule="exact" w:val="0"/>
        </w:trPr>
        <w:tc>
          <w:tcPr>
     </w:tcPr>
          <w:p>
            <w:pPr>
              <w:pStyle w:val="EMPTY_CELL_STYLE"/>
              <w:pageBreakBefore/>
            </w:pPr>
            <w:bookmarkStart w:id="4" w:name="JR_PAGE_ANCHOR_0_5"/>
            <w:bookmarkEnd w:id="4"/>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兴银理财灵动全天候8号净值型理财产品2023年第一季度报告</w:t>
            </w: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2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600"/>
              <w:gridCol w:w="3600"/>
              <w:gridCol w:w="3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直接投资占产品总资产的比例（%）</w:t>
                        </w:r>
                      </w:p>
                    </w:tc>
                  </w:tr>
                </w:tbl>
                <w:p>
                  <w:pPr>
                    <w:pStyle w:val="EMPTY_CELL_STYLE"/>
                  </w:pPr>
                </w:p>
              </w:tc>
              <w:tc>
                <w:tcPr>
                  <w:shd w:val="clear" w:color="auto" w:fill="F0F8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间接投资占产品总资产的比例（%）</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现金及银行存款</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3.49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3.49</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公募基金</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5.78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5.78</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金融衍生品</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1.95</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债券</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88.78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88.78</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委外投资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总计</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2.报告期末杠杆融资情况</w:t>
            </w:r>
          </w:p>
        </w:tc>
        <w:tc>
          <w:tcPr>
     </w:tcPr>
          <w:p>
            <w:pPr>
              <w:pStyle w:val="EMPTY_CELL_STYLE"/>
            </w:pPr>
          </w:p>
        </w:tc>
        <w:tc>
          <w:tcPr>
     </w:tcPr>
          <w:p>
            <w:pPr>
              <w:pStyle w:val="EMPTY_CELL_STYLE"/>
            </w:pPr>
          </w:p>
        </w:tc>
        <w:tc>
          <w:tcPr>
     </w:tcPr>
          <w:p>
            <w:pPr>
              <w:pStyle w:val="EMPTY_CELL_STYLE"/>
            </w:pPr>
          </w:p>
        </w:tc>
      </w:tr>
      <w:tr>
        <w:trPr>
          <w:trHeight w:hRule="atLeast" w:val="100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报告期末本产品总资产未超过该产品净资产规模的140%，符合产品协议对本产品杠杆比例的要求。</w:t>
            </w: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3.投资组合的流动性风险分析</w:t>
            </w:r>
          </w:p>
        </w:tc>
        <w:tc>
          <w:tcPr>
     </w:tcPr>
          <w:p>
            <w:pPr>
              <w:pStyle w:val="EMPTY_CELL_STYLE"/>
            </w:pPr>
          </w:p>
        </w:tc>
        <w:tc>
          <w:tcPr>
     </w:tcPr>
          <w:p>
            <w:pPr>
              <w:pStyle w:val="EMPTY_CELL_STYLE"/>
            </w:pPr>
          </w:p>
        </w:tc>
        <w:tc>
          <w:tcPr>
     </w:tcPr>
          <w:p>
            <w:pPr>
              <w:pStyle w:val="EMPTY_CELL_STYLE"/>
            </w:pPr>
          </w:p>
        </w:tc>
      </w:tr>
      <w:tr>
        <w:trPr>
          <w:trHeight w:hRule="atLeast" w:val="258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流动性风险是指产品在履行与金融负债有关的义务时遇到资金短缺的风险。本产品的流动性风险一方面来自理财份额持有人可在约定的开放日提出赎回其持有的理财份额，另一方面来自于若投资品种所处的交易市场不活跃，可能带来资产变现困难或产品持仓资产在市场出现剧烈波动的情况下难以以合理价格变现的风险。</w:t>
              <w:br/>
              <w:t xml:space="preserve">    为防范无法支付赎回款而产生的流动性风险，本理财产品管理人将合理安排所投资产期限，持续根据市场变化情况做好投资安排，尽可能降低产品流动性风险，有效保障理财持有人利益。</w:t>
              <w:br/>
              <w:t xml:space="preserve">    报告期内，本理财产品管理人严格遵守相关法律法规以及产品销售协议，对理财产品组合资产的流动性风险进行管理，报告期内未发生流动性风险。</w:t>
              <w:br/>
            </w:r>
          </w:p>
        </w:tc>
        <w:tc>
          <w:tcPr>
     </w:tcPr>
          <w:p>
            <w:pPr>
              <w:pStyle w:val="EMPTY_CELL_STYLE"/>
            </w:pPr>
          </w:p>
        </w:tc>
        <w:tc>
          <w:tcPr>
     </w:tcPr>
          <w:p>
            <w:pPr>
              <w:pStyle w:val="EMPTY_CELL_STYLE"/>
            </w:pPr>
          </w:p>
        </w:tc>
        <w:tc>
          <w:tcPr>
     </w:tcPr>
          <w:p>
            <w:pPr>
              <w:pStyle w:val="EMPTY_CELL_STYLE"/>
            </w:pPr>
          </w:p>
        </w:tc>
      </w:tr>
      <w:tr>
        <w:trPr>
          <w:trHeight w:hRule="exact" w:val="5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4.报告期末资产持仓前十基本信息</w:t>
            </w:r>
          </w:p>
        </w:tc>
        <w:tc>
          <w:tcPr>
     </w:tcPr>
          <w:p>
            <w:pPr>
              <w:pStyle w:val="EMPTY_CELL_STYLE"/>
            </w:pPr>
          </w:p>
        </w:tc>
      </w:tr>
      <w:tr>
        <w:trPr>
          <w:trHeight w:hRule="exact" w:val="4240"/>
        </w:trPr>
        <w:tc>
          <w:tcPr>
     </w:tcPr>
          <w:p>
            <w:pPr>
              <w:pStyle w:val="EMPTY_CELL_STYLE"/>
            </w:pPr>
          </w:p>
        </w:tc>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64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资产规模</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100"/>
                    <w:gridCol w:w="31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占产品资产净值的比例（%）</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20灵山MTN001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10,302,844.93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7.17</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22云投SCP033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9,217,566.86</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6.42</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22桂交投MTN004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9,012,182.67</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6.28</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20云投MTN006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8,606,064.16</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5.99</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20建发地产PPN005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8,171,160.77</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5.69</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22南昌水投PPN001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8,046,387.67</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5.60</w:t>
                        </w:r>
                      </w:p>
                    </w:tc>
                  </w:tr>
                </w:tbl>
                <w:p>
                  <w:pPr>
                    <w:pStyle w:val="EMPTY_CELL_STYLE"/>
                  </w:pPr>
                </w:p>
              </w:tc>
            </w:tr>
          </w:tbl>
          <w:p>
            <w:pPr>
              <w:pStyle w:val="EMPTY_CELL_STYLE"/>
            </w:pPr>
          </w:p>
        </w:tc>
        <w:tc>
          <w:tcPr>
     </w:tcPr>
          <w:p>
            <w:pPr>
              <w:pStyle w:val="EMPTY_CELL_STYLE"/>
            </w:pPr>
          </w:p>
        </w:tc>
      </w:tr>
      <w:tr>
        <w:trPr>
          <w:trHeight w:hRule="exact" w:val="3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5/</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5" w:name="JR_PAGE_ANCHOR_0_6"/>
            <w:bookmarkEnd w:id="5"/>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兴银理财灵动全天候8号净值型理财产品2023年第一季度报告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2400"/>
        </w:trPr>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22紫金矿业MTN004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8,031,391.12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5.59</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22晋江建投PPN003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7,940,239.23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5.53</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21闽国资MTN001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6,948,930.43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4.84</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20岳交03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5,120,115.55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3.57</w:t>
                        </w:r>
                      </w:p>
                    </w:tc>
                  </w:tr>
                </w:tbl>
                <w:p>
                  <w:pPr>
                    <w:pStyle w:val="EMPTY_CELL_STYLE"/>
                  </w:pPr>
                </w:p>
              </w:tc>
            </w:tr>
          </w:tbl>
          <w:p>
            <w:pPr>
              <w:pStyle w:val="EMPTY_CELL_STYLE"/>
            </w:pPr>
          </w:p>
        </w:tc>
        <w:tc>
          <w:tcPr>
     </w:tcPr>
          <w:p>
            <w:pPr>
              <w:pStyle w:val="EMPTY_CELL_STYLE"/>
            </w:pPr>
          </w:p>
        </w:tc>
      </w:tr>
      <w:tr>
        <w:trPr>
          <w:trHeight w:hRule="exact" w:val="5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5.报告期间关联交易情况</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5.1 理财产品在报告期末投资关联方发行、承销的证券的情况</w:t>
            </w:r>
          </w:p>
        </w:tc>
        <w:tc>
          <w:tcPr>
     </w:tcPr>
          <w:p>
            <w:pPr>
              <w:pStyle w:val="EMPTY_CELL_STYLE"/>
            </w:pPr>
          </w:p>
        </w:tc>
        <w:tc>
          <w:tcPr>
     </w:tcPr>
          <w:p>
            <w:pPr>
              <w:pStyle w:val="EMPTY_CELL_STYLE"/>
            </w:pPr>
          </w:p>
        </w:tc>
      </w:tr>
      <w:tr>
        <w:trPr>
          <w:trHeight w:hRule="exact" w:val="4200"/>
        </w:trPr>
        <w:tc>
          <w:tcPr>
     </w:tcPr>
          <w:p>
            <w:pPr>
              <w:pStyle w:val="EMPTY_CELL_STYLE"/>
            </w:pPr>
          </w:p>
        </w:tc>
        <w:tc>
          <w:tcPr>
            <w:gridSpan w:val="6"/>
            <w:tcMar>
              <w:top w:w="0" w:type="dxa"/>
              <w:left w:w="0" w:type="dxa"/>
              <w:bottom w:w="0" w:type="dxa"/>
              <w:right w:w="0" w:type="dxa"/>
            </w:tcMar>
          </w:tcPr>
          <w:tbl>
            <w:tblPr>
              <w:tblLayout w:type="fixed"/>
            </w:tblPr>
            <w:tblGrid>
              <w:gridCol w:w="1800"/>
              <w:gridCol w:w="3000"/>
              <w:gridCol w:w="2800"/>
              <w:gridCol w:w="31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承销商/发行人</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9K212058</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20青岛国信MTN001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9K212058</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21闽国资MTN001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6,800,000.00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9K212058</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22桂交投MTN004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9K212058</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22江北新区PPN001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9K212058</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22云投SCP033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9K212058</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22紫金矿业MTN004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5.2 理财产品在报告期内其他关联交易</w:t>
            </w:r>
          </w:p>
        </w:tc>
        <w:tc>
          <w:tcPr>
     </w:tcPr>
          <w:p>
            <w:pPr>
              <w:pStyle w:val="EMPTY_CELL_STYLE"/>
            </w:pPr>
          </w:p>
        </w:tc>
        <w:tc>
          <w:tcPr>
     </w:tcPr>
          <w:p>
            <w:pPr>
              <w:pStyle w:val="EMPTY_CELL_STYLE"/>
            </w:pPr>
          </w:p>
        </w:tc>
      </w:tr>
      <w:tr>
        <w:trPr>
          <w:trHeight w:hRule="exact" w:val="18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交易标的</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交易金额（万元）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9K212058</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兴业期货-兴合4号集合资产管理计划</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管理费</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兴业期货有限公司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9K212058</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兴业期货-兴合3号集合资产管理计划</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管理费</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兴业期货有限公司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5.3 理财产品在报告期内中的重大关联交易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1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6.投资账户信息</w:t>
            </w: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200"/>
              <w:gridCol w:w="3000"/>
              <w:gridCol w:w="4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账户编号</w:t>
                        </w:r>
                      </w:p>
                    </w:tc>
                  </w:tr>
                </w:tbl>
                <w:p>
                  <w:pPr>
                    <w:pStyle w:val="EMPTY_CELL_STYLE"/>
                  </w:pPr>
                </w:p>
              </w:tc>
              <w:tc>
                <w:tcPr>
                  <w:shd w:val="clear" w:color="auto" w:fill="B3B4B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账户名称</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托管账户</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051010100101128588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兴银理财灵动全天候8号净值型理财产品</w:t>
                        </w:r>
                      </w:p>
                    </w:tc>
                  </w:tr>
                </w:tbl>
                <w:p>
                  <w:pPr>
                    <w:pStyle w:val="EMPTY_CELL_STYLE"/>
                  </w:pPr>
                </w:p>
              </w:tc>
            </w:tr>
          </w:tbl>
          <w:p>
            <w:pPr>
              <w:pStyle w:val="EMPTY_CELL_STYLE"/>
            </w:pPr>
          </w:p>
        </w:tc>
        <w:tc>
          <w:tcPr>
     </w:tcPr>
          <w:p>
            <w:pPr>
              <w:pStyle w:val="EMPTY_CELL_STYLE"/>
            </w:pPr>
          </w:p>
        </w:tc>
      </w:tr>
      <w:tr>
        <w:trPr>
          <w:trHeight w:hRule="exact" w:val="6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6/</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3400"/>
        <w:gridCol w:w="2000"/>
        <w:gridCol w:w="2000"/>
        <w:gridCol w:w="3300"/>
        <w:gridCol w:w="1"/>
      </w:tblGrid>
      <w:tr>
        <w:trPr>
          <w:trHeight w:hRule="exact" w:val="0"/>
        </w:trPr>
        <w:tc>
          <w:tcPr>
     </w:tcPr>
          <w:p>
            <w:pPr>
              <w:pStyle w:val="EMPTY_CELL_STYLE"/>
              <w:pageBreakBefore/>
            </w:pPr>
            <w:bookmarkStart w:id="6" w:name="JR_PAGE_ANCHOR_0_7"/>
            <w:bookmarkEnd w:id="6"/>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4"/>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兴银理财灵动全天候8号净值型理财产品2023年第一季度报告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4"/>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4"/>
            <w:tcMar>
              <w:top w:w="0" w:type="dxa"/>
              <w:left w:w="0" w:type="dxa"/>
              <w:bottom w:w="0" w:type="dxa"/>
              <w:right w:w="0" w:type="dxa"/>
            </w:tcMar>
            <w:vAlign w:val="center"/>
          </w:tcPr>
          <w:p>
            <w:pPr>
              <w:ind/>
              <w:jc w:val="right"/>
            </w:pPr>
            <w:r>
              <w:rPr>
                <w:rFonts w:ascii="宋体" w:hAnsi="宋体" w:eastAsia="宋体" w:cs="宋体"/>
                <w:color w:val="000000"/>
                <w:sz w:val="21"/>
              </w:rPr>
              <w:t xml:space="preserve">兴银理财有限责任公司</w:t>
            </w:r>
          </w:p>
        </w:tc>
        <w:tc>
          <w:tcPr>
     </w:tcPr>
          <w:p>
            <w:pPr>
              <w:pStyle w:val="EMPTY_CELL_STYLE"/>
            </w:pPr>
          </w:p>
        </w:tc>
      </w:tr>
      <w:tr>
        <w:trPr>
          <w:trHeight w:hRule="atLeast" w:val="400"/>
        </w:trPr>
        <w:tc>
          <w:tcPr>
     </w:tcPr>
          <w:p>
            <w:pPr>
              <w:pStyle w:val="EMPTY_CELL_STYLE"/>
            </w:pPr>
          </w:p>
        </w:tc>
        <w:tc>
          <w:tcPr>
            <w:gridSpan w:val="4"/>
            <w:tcMar>
              <w:top w:w="0" w:type="dxa"/>
              <w:left w:w="0" w:type="dxa"/>
              <w:bottom w:w="0" w:type="dxa"/>
              <w:right w:w="0" w:type="dxa"/>
            </w:tcMar>
            <w:vAlign w:val="top"/>
          </w:tcPr>
          <w:p>
            <w:pPr>
              <w:ind/>
              <w:jc w:val="right"/>
            </w:pPr>
            <w:r>
              <w:rPr>
                <w:rFonts w:ascii="宋体" w:hAnsi="宋体" w:eastAsia="宋体" w:cs="宋体"/>
                <w:color w:val="000000"/>
                <w:sz w:val="21"/>
              </w:rPr>
              <w:t xml:space="preserve">2023年4月23日</w:t>
            </w:r>
          </w:p>
        </w:tc>
        <w:tc>
          <w:tcPr>
     </w:tcPr>
          <w:p>
            <w:pPr>
              <w:pStyle w:val="EMPTY_CELL_STYLE"/>
            </w:pPr>
          </w:p>
        </w:tc>
      </w:tr>
      <w:tr>
        <w:trPr>
          <w:trHeight w:hRule="exact" w:val="13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7/</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r>
    </w:tbl>
    <w:sectPr>
      <w:pgSz w:w="11900" w:h="16840" w:orient="portrait"/>
      <w:pgMar w:top="600" w:right="600" w:bottom="240" w:left="600" w:header="0" w:footer="0" w:gutter="0"/>
      <w:docGrid w:linePitch="360"/>
    </w:sectPr>
  </w:body>
</w:document>
</file>

<file path=word/settings.xml><?xml version="1.0" encoding="utf-8"?>
<w:settings xmlns:w="http://schemas.openxmlformats.org/wordprocessingml/2006/main">
  <w:defaultTabStop w:val="800"/>
</w:settings>
</file>

<file path=word/styles.xml><?xml version="1.0" encoding="utf-8"?>
<w:styles xmlns:r="http://schemas.openxmlformats.org/officeDocument/2006/relationships" xmlns:w="http://schemas.openxmlformats.org/wordprocessingml/2006/main">
  <w:docDefaults>
    <w:rPrDefault>
  </w:rPrDefault>
    <w:pPrDefault>
      <w:pPr>
        <w:spacing w:line="240"/>
      </w:pPr>
    </w:pPrDefault>
  </w:docDefaults>
  <w:style w:type="paragraph" w:styleId="EMPTY_CELL_STYLE">
    <w:name w:val="EMPTY_CELL_STYLE"/>
    <w:qFormat/>
    <w:pPr>
      <w:ind/>
    </w:pPr>
    <w:rPr>
      <w:rFonts w:ascii="SansSerif" w:hAnsi="SansSerif" w:eastAsia="SansSerif" w:cs="SansSerif"/>
      <w:color w:val="000000"/>
      <w:sz w:val="1"/>
    </w:rPr>
  </w:style>
  <w:style w:type="paragraph" w:styleId="Table_TH">
    <w:name w:val="Table_TH"/>
    <w:qFormat/>
    <w:pPr>
      <w:ind/>
    </w:pPr>
    <w:rPr>
      <w:rFonts w:ascii="SansSerif" w:hAnsi="SansSerif" w:eastAsia="SansSerif" w:cs="SansSerif"/>
      <w:color w:val="000000"/>
      <w:sz w:val="20"/>
    </w:rPr>
  </w:style>
  <w:style w:type="paragraph" w:styleId="Table_CH">
    <w:name w:val="Table_CH"/>
    <w:qFormat/>
    <w:pPr>
      <w:ind/>
    </w:pPr>
    <w:rPr>
      <w:rFonts w:ascii="SansSerif" w:hAnsi="SansSerif" w:eastAsia="SansSerif" w:cs="SansSerif"/>
      <w:color w:val="000000"/>
      <w:sz w:val="20"/>
    </w:rPr>
  </w:style>
  <w:style w:type="paragraph" w:styleId="Table_TD">
    <w:name w:val="Table_TD"/>
    <w:qFormat/>
    <w:pPr>
      <w:ind/>
    </w:pPr>
    <w:rPr>
      <w:rFonts w:ascii="SansSerif" w:hAnsi="SansSerif" w:eastAsia="SansSerif" w:cs="SansSerif"/>
      <w:color w:val="000000"/>
      <w:sz w:val="20"/>
    </w:rPr>
  </w:style>
  <w:style w:type="paragraph" w:styleId="Table_CD">
    <w:name w:val="Table_CD"/>
    <w:qFormat/>
    <w:pPr>
      <w:ind/>
    </w:pPr>
    <w:rPr>
      <w:rFonts w:ascii="SansSerif" w:hAnsi="SansSerif" w:eastAsia="SansSerif" w:cs="SansSerif"/>
      <w:color w:val="000000"/>
      <w:sz w:val="20"/>
    </w:rPr>
  </w:style>
  <w:style w:type="paragraph" w:styleId="Table 3_TH">
    <w:name w:val="Table 3_TH"/>
    <w:qFormat/>
    <w:pPr>
      <w:ind/>
    </w:pPr>
    <w:rPr>
      <w:rFonts w:ascii="SansSerif" w:hAnsi="SansSerif" w:eastAsia="SansSerif" w:cs="SansSerif"/>
      <w:color w:val="000000"/>
      <w:sz w:val="20"/>
    </w:rPr>
  </w:style>
  <w:style w:type="paragraph" w:styleId="Table 3_CH">
    <w:name w:val="Table 3_CH"/>
    <w:qFormat/>
    <w:pPr>
      <w:ind/>
    </w:pPr>
    <w:rPr>
      <w:rFonts w:ascii="SansSerif" w:hAnsi="SansSerif" w:eastAsia="SansSerif" w:cs="SansSerif"/>
      <w:color w:val="000000"/>
      <w:sz w:val="20"/>
    </w:rPr>
  </w:style>
  <w:style w:type="paragraph" w:styleId="Table 3_TD">
    <w:name w:val="Table 3_TD"/>
    <w:qFormat/>
    <w:pPr>
      <w:ind/>
    </w:pPr>
    <w:rPr>
      <w:rFonts w:ascii="SansSerif" w:hAnsi="SansSerif" w:eastAsia="SansSerif" w:cs="SansSerif"/>
      <w:color w:val="000000"/>
      <w:sz w:val="20"/>
    </w:rPr>
  </w:style>
  <w:style w:type="paragraph" w:styleId="Table 4_TH">
    <w:name w:val="Table 4_TH"/>
    <w:qFormat/>
    <w:pPr>
      <w:ind/>
    </w:pPr>
    <w:rPr>
      <w:rFonts w:ascii="SansSerif" w:hAnsi="SansSerif" w:eastAsia="SansSerif" w:cs="SansSerif"/>
      <w:color w:val="000000"/>
      <w:sz w:val="20"/>
    </w:rPr>
  </w:style>
  <w:style w:type="paragraph" w:styleId="Table 4_CH">
    <w:name w:val="Table 4_CH"/>
    <w:qFormat/>
    <w:pPr>
      <w:ind/>
    </w:pPr>
    <w:rPr>
      <w:rFonts w:ascii="SansSerif" w:hAnsi="SansSerif" w:eastAsia="SansSerif" w:cs="SansSerif"/>
      <w:color w:val="000000"/>
      <w:sz w:val="20"/>
    </w:rPr>
  </w:style>
  <w:style w:type="paragraph" w:styleId="Table 4_TD">
    <w:name w:val="Table 4_TD"/>
    <w:qFormat/>
    <w:pPr>
      <w:ind/>
    </w:pPr>
    <w:rPr>
      <w:rFonts w:ascii="SansSerif" w:hAnsi="SansSerif" w:eastAsia="SansSerif" w:cs="SansSerif"/>
      <w:color w:val="000000"/>
      <w:sz w:val="20"/>
    </w:rPr>
  </w:style>
  <w:style w:type="paragraph" w:styleId="Table 1_TH">
    <w:name w:val="Table 1_TH"/>
    <w:qFormat/>
    <w:pPr>
      <w:ind/>
    </w:pPr>
    <w:rPr>
      <w:rFonts w:ascii="SansSerif" w:hAnsi="SansSerif" w:eastAsia="SansSerif" w:cs="SansSerif"/>
      <w:color w:val="000000"/>
      <w:sz w:val="20"/>
    </w:rPr>
  </w:style>
  <w:style w:type="paragraph" w:styleId="Table 1_CH">
    <w:name w:val="Table 1_CH"/>
    <w:qFormat/>
    <w:pPr>
      <w:ind/>
    </w:pPr>
    <w:rPr>
      <w:rFonts w:ascii="SansSerif" w:hAnsi="SansSerif" w:eastAsia="SansSerif" w:cs="SansSerif"/>
      <w:color w:val="000000"/>
      <w:sz w:val="20"/>
    </w:rPr>
  </w:style>
  <w:style w:type="paragraph" w:styleId="Table 1_TD">
    <w:name w:val="Table 1_TD"/>
    <w:qFormat/>
    <w:pPr>
      <w:ind/>
    </w:pPr>
    <w:rPr>
      <w:rFonts w:ascii="SansSerif" w:hAnsi="SansSerif" w:eastAsia="SansSerif" w:cs="SansSerif"/>
      <w:color w:val="000000"/>
      <w:sz w:val="20"/>
    </w:rPr>
  </w:style>
  <w:style w:type="paragraph" w:styleId="Table 2_TH">
    <w:name w:val="Table 2_TH"/>
    <w:qFormat/>
    <w:pPr>
      <w:ind/>
    </w:pPr>
    <w:rPr>
      <w:rFonts w:ascii="SansSerif" w:hAnsi="SansSerif" w:eastAsia="SansSerif" w:cs="SansSerif"/>
      <w:color w:val="000000"/>
      <w:sz w:val="20"/>
    </w:rPr>
  </w:style>
  <w:style w:type="paragraph" w:styleId="Table 2_CH">
    <w:name w:val="Table 2_CH"/>
    <w:qFormat/>
    <w:pPr>
      <w:ind/>
    </w:pPr>
    <w:rPr>
      <w:rFonts w:ascii="SansSerif" w:hAnsi="SansSerif" w:eastAsia="SansSerif" w:cs="SansSerif"/>
      <w:color w:val="000000"/>
      <w:sz w:val="20"/>
    </w:rPr>
  </w:style>
  <w:style w:type="paragraph" w:styleId="Table 2_TD">
    <w:name w:val="Table 2_TD"/>
    <w:qFormat/>
    <w:pPr>
      <w:ind/>
    </w:pPr>
    <w:rPr>
      <w:rFonts w:ascii="SansSerif" w:hAnsi="SansSerif" w:eastAsia="SansSerif" w:cs="SansSerif"/>
      <w:color w:val="000000"/>
      <w:sz w:val="20"/>
    </w:rPr>
  </w:style>
  <w:style w:type="paragraph" w:styleId="Table 5_TH">
    <w:name w:val="Table 5_TH"/>
    <w:qFormat/>
    <w:pPr>
      <w:ind/>
    </w:pPr>
    <w:rPr>
      <w:rFonts w:ascii="SansSerif" w:hAnsi="SansSerif" w:eastAsia="SansSerif" w:cs="SansSerif"/>
      <w:color w:val="000000"/>
      <w:sz w:val="20"/>
    </w:rPr>
  </w:style>
  <w:style w:type="paragraph" w:styleId="Table 5_CH">
    <w:name w:val="Table 5_CH"/>
    <w:qFormat/>
    <w:pPr>
      <w:ind/>
    </w:pPr>
    <w:rPr>
      <w:rFonts w:ascii="SansSerif" w:hAnsi="SansSerif" w:eastAsia="SansSerif" w:cs="SansSerif"/>
      <w:color w:val="000000"/>
      <w:sz w:val="20"/>
    </w:rPr>
  </w:style>
  <w:style w:type="paragraph" w:styleId="Table 5_TD">
    <w:name w:val="Table 5_TD"/>
    <w:qFormat/>
    <w:pPr>
      <w:ind/>
    </w:pPr>
    <w:rPr>
      <w:rFonts w:ascii="SansSerif" w:hAnsi="SansSerif" w:eastAsia="SansSerif" w:cs="SansSerif"/>
      <w:color w:val="000000"/>
      <w:sz w:val="20"/>
    </w:rPr>
  </w:style>
  <w:style w:type="paragraph" w:styleId="Table 6_TH">
    <w:name w:val="Table 6_TH"/>
    <w:qFormat/>
    <w:pPr>
      <w:ind/>
    </w:pPr>
    <w:rPr>
      <w:rFonts w:ascii="SansSerif" w:hAnsi="SansSerif" w:eastAsia="SansSerif" w:cs="SansSerif"/>
      <w:color w:val="000000"/>
      <w:sz w:val="20"/>
    </w:rPr>
  </w:style>
  <w:style w:type="paragraph" w:styleId="Table 6_CH">
    <w:name w:val="Table 6_CH"/>
    <w:qFormat/>
    <w:pPr>
      <w:ind/>
    </w:pPr>
    <w:rPr>
      <w:rFonts w:ascii="SansSerif" w:hAnsi="SansSerif" w:eastAsia="SansSerif" w:cs="SansSerif"/>
      <w:color w:val="000000"/>
      <w:sz w:val="20"/>
    </w:rPr>
  </w:style>
  <w:style w:type="paragraph" w:styleId="Table 6_TD">
    <w:name w:val="Table 6_TD"/>
    <w:qFormat/>
    <w:pPr>
      <w:ind/>
    </w:pPr>
    <w:rPr>
      <w:rFonts w:ascii="SansSerif" w:hAnsi="SansSerif" w:eastAsia="SansSerif" w:cs="SansSerif"/>
      <w:color w:val="000000"/>
      <w:sz w:val="20"/>
    </w:rPr>
  </w:style>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s>

</file>

<file path=docProps/app.xml><?xml version="1.0" encoding="utf-8"?>
<Properties xmlns="http://schemas.openxmlformats.org/officeDocument/2006/extended-properties">
  <Application>JasperReports Library version 6.6.0</Applicat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coreProperties>
</file>