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兴银理财灵动全天候37号净值型理财产品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35,114,499.06份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25,709,280.62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兴银灵动37号年年升B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9,405,218.44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产品9K212187自成立日以来，累计净值增长率为0.8830%，年化累计净值增长率为1.2301%。</w:t>
              <w:br/>
              <w:t xml:space="preserve">产品9K212287自成立日以来，累计净值增长率为0.9540%，年化累计净值增长率为1.3290%。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35,431,217.74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25,936,248.79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9,494,968.95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过程中，坚持以风险平价为主的绝对收益策略，持续跟踪股债性价比并以此为依据动态调整权益仓位比例。春节后权益市场主线逐步清晰，数字经济、中特估、AI、一带一路等板块轮番上涨，尤其是AI相关的行业和板块，成交额一度占比超过50%，一季度TMT板块涨幅达30%以上。ChatGPT的推出大幅推进了AI的进程，AI的智能化出现了突破性的进展，未来在文本、语音、视频等行业会出现颠覆性的应用，因此我们判断AI+在未来很长一段时间会是市场的交易主线，并且有一批公司能够真正受益这次AI的浪潮，甚至会颠覆很多商业模式；从短期看，AI板块的交易过于拥挤，且可能的监管会放缓行业的发展，板块后续有可能出现回调，但长期的发展趋势相对确定，我们看好后续真正受益AI产业趋势的板块。宏观经济方面，各项指标全面向好，信贷总量扩张，结构有所改善；消费逐步恢复，但仍未修复到疫情前的水平，食品饮料、社服零售表现较平淡。结构性行情下，新能源板块持续回调，后续业绩兑现尤为重要。海外方面，联储加息进入尾声，但需警惕欧美的产业贸易保护政策。总体来说，逐步改善的经济基本面、充足的流动性预期和颠覆性的科技创新将推动市场逐步上行。</w:t>
              <w:br/>
              <w:t xml:space="preserve">    在运作过程中，债券方面我们保持中性久期，权益方面我们积极布局，在一季度取得较好结果。后续我们择机提高组合杠杆提高组合静态收益，权益方面会重点关注受益AI浪潮的公司，择机进一步提升TMT板块的配置水平，另外也重点关注低估值高分红的央国企的重估机会及业绩兑现度高的板块的反弹机会。</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2,852,597.28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2,517,326.68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2,016,406.11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20荆城投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1,543,746.37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21崇川城投PPN004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1,543,022.59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1,542,153.82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22天恒置业MTN002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1,539,643.50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1,538,917.40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21舜通MTN003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1,537,775.63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22华发实业MTN001B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1,035,831.11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22黄石城发CP003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051010100101440785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兴银理财灵动全天候37号净值型理财产品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