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1"/>
        <w:gridCol w:w="19"/>
        <w:gridCol w:w="1"/>
        <w:gridCol w:w="19"/>
        <w:gridCol w:w="1"/>
      </w:tblGrid>
      <w:tr>
        <w:tblPrEx>
          <w:tblCellMar>
            <w:top w:w="0" w:type="dxa"/>
            <w:left w:w="10" w:type="dxa"/>
            <w:bottom w:w="0" w:type="dxa"/>
            <w:right w:w="10" w:type="dxa"/>
          </w:tblCellMar>
        </w:tblPrEx>
        <w:trPr>
          <w:gridAfter w:val="4"/>
          <w:trHeight w:val="0" w:hRule="atLeast"/>
        </w:trPr>
        <w:tc>
          <w:p>
            <w:pPr>
              <w:pStyle w:val="4"/>
            </w:pPr>
            <w:bookmarkStart w:id="0" w:name="JR_PAGE_ANCHOR_0_1"/>
            <w:bookmarkEnd w:id="0"/>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96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3020" w:hRule="atLeast"/>
        </w:trPr>
        <w:tc>
          <w:p>
            <w:pPr>
              <w:pStyle w:val="4"/>
            </w:pPr>
          </w:p>
        </w:tc>
        <w:tc>
          <w:tcPr>
            <w:gridSpan w:val="19"/>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兴银理财兴合汇景1号混合类净值型理财产品</w:t>
            </w:r>
            <w:r>
              <w:rPr>
                <w:rFonts w:ascii="宋体" w:hAnsi="宋体" w:eastAsia="宋体" w:cs="宋体"/>
                <w:b/>
                <w:color w:val="000000"/>
                <w:sz w:val="32"/>
              </w:rPr>
              <w:br w:type="textWrapping"/>
            </w:r>
            <w:r>
              <w:rPr>
                <w:rFonts w:ascii="宋体" w:hAnsi="宋体" w:eastAsia="宋体" w:cs="宋体"/>
                <w:b/>
                <w:color w:val="000000"/>
                <w:sz w:val="32"/>
              </w:rPr>
              <w:t>2023年第一季度报告</w:t>
            </w:r>
          </w:p>
        </w:tc>
        <w:tc>
          <w:p>
            <w:pPr>
              <w:pStyle w:val="4"/>
            </w:pPr>
          </w:p>
        </w:tc>
      </w:tr>
      <w:tr>
        <w:tblPrEx>
          <w:tblCellMar>
            <w:top w:w="0" w:type="dxa"/>
            <w:left w:w="10" w:type="dxa"/>
            <w:bottom w:w="0" w:type="dxa"/>
            <w:right w:w="10" w:type="dxa"/>
          </w:tblCellMar>
        </w:tblPrEx>
        <w:trPr>
          <w:gridAfter w:val="4"/>
          <w:trHeight w:val="660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报告送出日期：2023年4月23日</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7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6"/>
          </w:tcPr>
          <w:p>
            <w:pPr>
              <w:pStyle w:val="4"/>
            </w:pPr>
          </w:p>
        </w:tc>
        <w:tc>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1" w:name="JR_PAGE_ANCHOR_0_2"/>
            <w:bookmarkEnd w:id="1"/>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8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3"/>
          </w:tcPr>
          <w:p>
            <w:pPr>
              <w:pStyle w:val="4"/>
            </w:pPr>
          </w:p>
        </w:tc>
        <w:tc>
          <w:tcPr>
            <w:gridSpan w:val="4"/>
          </w:tcPr>
          <w:p>
            <w:pPr>
              <w:pStyle w:val="4"/>
            </w:pPr>
          </w:p>
        </w:tc>
        <w:tc>
          <w:tcPr>
            <w:gridSpan w:val="2"/>
          </w:tcPr>
          <w:p>
            <w:pPr>
              <w:pStyle w:val="4"/>
            </w:pPr>
          </w:p>
        </w:tc>
        <w:tc>
          <w:tcPr>
            <w:gridSpan w:val="3"/>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840" w:hRule="atLeast"/>
        </w:trPr>
        <w:tc>
          <w:p>
            <w:pPr>
              <w:pStyle w:val="4"/>
            </w:pPr>
          </w:p>
        </w:tc>
        <w:tc>
          <w:tcPr>
            <w:gridSpan w:val="3"/>
          </w:tcPr>
          <w:p>
            <w:pPr>
              <w:pStyle w:val="4"/>
            </w:pPr>
          </w:p>
        </w:tc>
        <w:tc>
          <w:tcPr>
            <w:gridSpan w:val="14"/>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08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3"/>
          </w:tcPr>
          <w:p>
            <w:pPr>
              <w:pStyle w:val="4"/>
            </w:pPr>
          </w:p>
        </w:tc>
        <w:tc>
          <w:tcPr>
            <w:gridSpan w:val="4"/>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2" w:name="JR_PAGE_ANCHOR_0_3"/>
            <w:bookmarkEnd w:id="2"/>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3080" w:hRule="atLeast"/>
        </w:trPr>
        <w:tc>
          <w:p>
            <w:pPr>
              <w:pStyle w:val="4"/>
            </w:pPr>
          </w:p>
        </w:tc>
        <w:tc>
          <w:tcPr>
            <w:gridSpan w:val="19"/>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兴银理财兴合汇景1号混合类净值型理财产品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9K212803</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Z7002021000058</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混合类</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786,389,763.55份</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沪深300指数收益率*60%+中债新综合财富（1年以下）指数收益率*40%/--</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R4</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p>
            <w:pPr>
              <w:pStyle w:val="4"/>
            </w:pPr>
          </w:p>
        </w:tc>
      </w:tr>
      <w:tr>
        <w:tblPrEx>
          <w:tblCellMar>
            <w:top w:w="0" w:type="dxa"/>
            <w:left w:w="10" w:type="dxa"/>
            <w:bottom w:w="0" w:type="dxa"/>
            <w:right w:w="10" w:type="dxa"/>
          </w:tblCellMar>
        </w:tblPrEx>
        <w:trPr>
          <w:gridAfter w:val="4"/>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6"/>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产品9K212803自成立日以来，累计净值增长率为-4.9570%，年化累计净值增长率为-2.5700%。</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9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7"/>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3" w:name="JR_PAGE_ANCHOR_0_4"/>
            <w:bookmarkEnd w:id="3"/>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估值日期</w:t>
            </w: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产品份额净值</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 xml:space="preserve">产品累计净值 </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产品资产净值</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0.95043</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0.95043</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747,407,060.71</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吴为先生，西南财经大学数学、经济学双学士，新南威尔士大学精算硕士，FRM。19年加入兴银理财，曾任兴业研究基金研究员，7年金融从业经验。现任兴银理财权益投资部投资经理。</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7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4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展望后市，当前国内基本面呈现弱复苏状态，基本面修复仍是政策推动、场景修复等外生或补偿性逻辑，偏强的主要还是贴近政策端的基建和制造业、以及场景修复后的出行链活动，房企资金在边际上也有改善，但内生的顺周期修复尚需要时间，后续就业、收入和信心的修复周期能否开启，需要持续观察。两会顺利召开，相比经济增速，更加注重高质量发展。  后续随着相关政策的落地，市场主线有望趋向明朗，改善当前市场热点轮动较快和主线不明的情形。海外方面，通胀下行受阻叠加衰退预期渐强，延续外需走弱的判断；硅谷银行以及瑞信风波增加了不确定性，但整体风险可控，后续演化需要跟踪。</w:t>
            </w:r>
            <w:r>
              <w:rPr>
                <w:rFonts w:ascii="宋体" w:hAnsi="宋体" w:eastAsia="宋体" w:cs="宋体"/>
                <w:color w:val="000000"/>
                <w:sz w:val="21"/>
              </w:rPr>
              <w:br w:type="textWrapping"/>
            </w:r>
            <w:r>
              <w:rPr>
                <w:rFonts w:ascii="宋体" w:hAnsi="宋体" w:eastAsia="宋体" w:cs="宋体"/>
                <w:color w:val="000000"/>
                <w:sz w:val="21"/>
              </w:rPr>
              <w:t xml:space="preserve">    整体来看，在经济复苏、剩余流动性仍然宽松以及估值偏低的背景下，我们对市场保持乐观和耐心，后续建议关注国内进一步经济修复情况、两会相关政策落实情况、海外风险事件演绎和加息政策。配置方向上，关注经济和政策层面边际变化的受益板块，也需要重视20大指向的中长期结构性机会。1、自主可控与高端制造的时代主线。2、核心资产的估值修复和再配置需求。经济复苏叠加海外流动性紧缩逐步缓解，有望迎来盈利估值双击。建议重点关注必选消费、高分红资产（估值便宜，现金流好、高分红的大型央企）、医药和医疗服务等。3、重视港股长期底部的配置价值。</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20"/>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trHeight w:val="364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4"/>
          </w:tcPr>
          <w:p>
            <w:pPr>
              <w:pStyle w:val="4"/>
            </w:pPr>
          </w:p>
        </w:tc>
        <w:tc>
          <w:tcPr>
            <w:gridSpan w:val="2"/>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4" w:name="JR_PAGE_ANCHOR_0_5"/>
            <w:bookmarkEnd w:id="4"/>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0" w:hRule="exact"/>
        </w:trPr>
        <w:tc>
          <w:p>
            <w:pPr>
              <w:pStyle w:val="4"/>
            </w:pPr>
          </w:p>
        </w:tc>
        <w:tc>
          <w:p>
            <w:pPr>
              <w:pStyle w:val="4"/>
            </w:pPr>
          </w:p>
        </w:tc>
        <w:tc>
          <w:tcPr>
            <w:gridSpan w:val="20"/>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28.63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28.63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权益类投资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59.41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9.28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9.28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00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4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景顺长城基金致远1号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444,680,484.17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59.50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工商银行活期存款（福州）</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177,108,076.40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23.70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22武生01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30,119,710.26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22宁德02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20,170,138.36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兴业中证同业存单AAA指数7天持有期证券投资基金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20,036,890.49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23希望E1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19,199,629.30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2.57</w:t>
                        </w:r>
                      </w:p>
                    </w:tc>
                  </w:tr>
                </w:tbl>
                <w:p>
                  <w:pPr>
                    <w:pStyle w:val="4"/>
                  </w:pPr>
                </w:p>
              </w:tc>
            </w:tr>
          </w:tbl>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6"/>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兴银理财兴合汇景1号混合类净值型理财产品2023年第一季度报告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9K212803</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22宁德02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华福证券有限责任公司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19"/>
            <w:tcMar>
              <w:top w:w="0" w:type="dxa"/>
              <w:left w:w="0" w:type="dxa"/>
              <w:bottom w:w="0" w:type="dxa"/>
              <w:right w:w="0" w:type="dxa"/>
            </w:tcMar>
          </w:tcPr>
          <w:tbl>
            <w:tblPr>
              <w:tblStyle w:val="2"/>
              <w:tblW w:w="10700" w:type="dxa"/>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gridSpan w:val="5"/>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68"/>
                  </w:tblGrid>
                  <w:tr>
                    <w:tblPrEx>
                      <w:tblCellMar>
                        <w:top w:w="0" w:type="dxa"/>
                        <w:left w:w="10" w:type="dxa"/>
                        <w:bottom w:w="0" w:type="dxa"/>
                        <w:right w:w="10" w:type="dxa"/>
                      </w:tblCellMar>
                    </w:tblPrEx>
                    <w:trPr>
                      <w:trHeight w:val="600" w:hRule="atLeast"/>
                    </w:trPr>
                    <w:tc>
                      <w:tcPr>
                        <w:tcW w:w="10668" w:type="dxa"/>
                        <w:tcMar>
                          <w:top w:w="0" w:type="dxa"/>
                          <w:left w:w="0" w:type="dxa"/>
                          <w:bottom w:w="0" w:type="dxa"/>
                          <w:right w:w="0" w:type="dxa"/>
                        </w:tcMar>
                        <w:vAlign w:val="center"/>
                      </w:tcPr>
                      <w:p>
                        <w:pPr>
                          <w:jc w:val="center"/>
                        </w:pPr>
                        <w:r>
                          <w:rPr>
                            <w:rFonts w:ascii="宋体" w:hAnsi="宋体" w:eastAsia="宋体" w:cs="宋体"/>
                            <w:color w:val="000000"/>
                            <w:sz w:val="21"/>
                          </w:rPr>
                          <w:t>无</w:t>
                        </w:r>
                        <w:bookmarkStart w:id="6" w:name="_GoBack"/>
                        <w:bookmarkEnd w:id="6"/>
                      </w:p>
                    </w:tc>
                  </w:tr>
                </w:tbl>
                <w:p>
                  <w:pPr>
                    <w:pStyle w:val="4"/>
                  </w:pPr>
                </w:p>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p>
                    </w:tc>
                  </w:tr>
                </w:tbl>
                <w:p>
                  <w:pPr>
                    <w:pStyle w:val="4"/>
                  </w:pPr>
                </w:p>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1"/>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21"/>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051010100101192312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兴银理财兴合汇景1号混合类净值型理财产品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top"/>
          </w:tcPr>
          <w:p>
            <w:pPr>
              <w:jc w:val="right"/>
            </w:pPr>
            <w:r>
              <w:rPr>
                <w:rFonts w:ascii="宋体" w:hAnsi="宋体" w:eastAsia="宋体" w:cs="宋体"/>
                <w:color w:val="000000"/>
                <w:sz w:val="21"/>
              </w:rPr>
              <w:t>2023年4月23日</w:t>
            </w:r>
          </w:p>
        </w:tc>
        <w:tc>
          <w:tcPr>
            <w:gridSpan w:val="4"/>
          </w:tcPr>
          <w:p>
            <w:pPr>
              <w:pStyle w:val="4"/>
            </w:pPr>
          </w:p>
        </w:tc>
        <w:tc>
          <w:p>
            <w:pPr>
              <w:pStyle w:val="4"/>
            </w:pPr>
          </w:p>
        </w:tc>
      </w:tr>
      <w:tr>
        <w:tblPrEx>
          <w:tblCellMar>
            <w:top w:w="0" w:type="dxa"/>
            <w:left w:w="10" w:type="dxa"/>
            <w:bottom w:w="0" w:type="dxa"/>
            <w:right w:w="10" w:type="dxa"/>
          </w:tblCellMar>
        </w:tblPrEx>
        <w:trPr>
          <w:trHeight w:val="548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3"/>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6"/>
          </w:tcPr>
          <w:p>
            <w:pPr>
              <w:pStyle w:val="4"/>
            </w:pPr>
          </w:p>
        </w:tc>
        <w:tc>
          <w:tcPr>
            <w:gridSpan w:val="4"/>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800"/>
  <w:compat>
    <w:useFELayout/>
    <w:splitPgBreakAndParaMark/>
    <w:compatSetting w:name="compatibilityMode" w:uri="http://schemas.microsoft.com/office/word" w:val="12"/>
  </w:compat>
  <w:rsids>
    <w:rsidRoot w:val="00000000"/>
    <w:rsid w:val="49CF2B94"/>
    <w:rsid w:val="4CF94614"/>
    <w:rsid w:val="62FB147E"/>
    <w:rsid w:val="6F755F84"/>
    <w:rsid w:val="6FD338F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2023-04-21T02:51:48Z</dcterms:created>
  <dc:creator>User</dc:creator>
  <cp:lastModifiedBy>cib</cp:lastModifiedBy>
  <dcterms:modified xsi:type="dcterms:W3CDTF">2023-04-21T02:52:58Z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