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兴银理财兴承恒享众盈一年定期开放4号固收类理财产品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兴银理财兴承恒享众盈一年定期开放4号固收类理财产品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9K520440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Z7002022000131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466,035,921.85份</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4.00%--4.50%/--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兴银兴承恒享众盈一年定开4号A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9K52044A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364,121,634.57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兴银兴承恒享众盈一年定开4号B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9K52044B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101,914,287.28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产品9K52044A自成立日以来，累计净值增长率为2.3340%，年化累计净值增长率为3.0103%。</w:t>
            </w:r>
            <w:r>
              <w:rPr>
                <w:rFonts w:ascii="宋体" w:hAnsi="宋体" w:eastAsia="宋体" w:cs="宋体"/>
                <w:color w:val="000000"/>
                <w:sz w:val="21"/>
              </w:rPr>
              <w:br w:type="textWrapping"/>
            </w:r>
            <w:r>
              <w:rPr>
                <w:rFonts w:ascii="宋体" w:hAnsi="宋体" w:eastAsia="宋体" w:cs="宋体"/>
                <w:color w:val="000000"/>
                <w:sz w:val="21"/>
              </w:rPr>
              <w:t>产品9K52044B自成立日以来，累计净值增长率为2.3750%，年化累计净值增长率为3.0632%。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476,953,457.85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372,618,829.58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104,334,628.27</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伟君先生，现任兴银理财专户投资部投资经理，浙江大学经济学硕士，FRM，9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一、2023年一季度市场回顾与产品投资策略</w:t>
            </w:r>
            <w:r>
              <w:rPr>
                <w:rFonts w:ascii="宋体" w:hAnsi="宋体" w:eastAsia="宋体" w:cs="宋体"/>
                <w:color w:val="000000"/>
                <w:sz w:val="21"/>
              </w:rPr>
              <w:br w:type="textWrapping"/>
            </w:r>
            <w:r>
              <w:rPr>
                <w:rFonts w:ascii="宋体" w:hAnsi="宋体" w:eastAsia="宋体" w:cs="宋体"/>
                <w:color w:val="000000"/>
                <w:sz w:val="21"/>
              </w:rPr>
              <w:t>1、市场回顾</w:t>
            </w:r>
            <w:r>
              <w:rPr>
                <w:rFonts w:ascii="宋体" w:hAnsi="宋体" w:eastAsia="宋体" w:cs="宋体"/>
                <w:color w:val="000000"/>
                <w:sz w:val="21"/>
              </w:rPr>
              <w:br w:type="textWrapping"/>
            </w:r>
            <w:r>
              <w:rPr>
                <w:rFonts w:ascii="宋体" w:hAnsi="宋体" w:eastAsia="宋体" w:cs="宋体"/>
                <w:color w:val="000000"/>
                <w:sz w:val="21"/>
              </w:rP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r>
            <w:r>
              <w:rPr>
                <w:rFonts w:ascii="宋体" w:hAnsi="宋体" w:eastAsia="宋体" w:cs="宋体"/>
                <w:color w:val="000000"/>
                <w:sz w:val="21"/>
              </w:rPr>
              <w:br w:type="textWrapping"/>
            </w:r>
            <w:r>
              <w:rPr>
                <w:rFonts w:ascii="宋体" w:hAnsi="宋体" w:eastAsia="宋体" w:cs="宋体"/>
                <w:color w:val="000000"/>
                <w:sz w:val="21"/>
              </w:rP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r>
            <w:r>
              <w:rPr>
                <w:rFonts w:ascii="宋体" w:hAnsi="宋体" w:eastAsia="宋体" w:cs="宋体"/>
                <w:color w:val="000000"/>
                <w:sz w:val="21"/>
              </w:rPr>
              <w:br w:type="textWrapping"/>
            </w:r>
            <w:r>
              <w:rPr>
                <w:rFonts w:ascii="宋体" w:hAnsi="宋体" w:eastAsia="宋体" w:cs="宋体"/>
                <w:color w:val="000000"/>
                <w:sz w:val="21"/>
              </w:rP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r>
            <w:r>
              <w:rPr>
                <w:rFonts w:ascii="宋体" w:hAnsi="宋体" w:eastAsia="宋体" w:cs="宋体"/>
                <w:color w:val="000000"/>
                <w:sz w:val="21"/>
              </w:rPr>
              <w:br w:type="textWrapping"/>
            </w:r>
            <w:r>
              <w:rPr>
                <w:rFonts w:ascii="宋体" w:hAnsi="宋体" w:eastAsia="宋体" w:cs="宋体"/>
                <w:color w:val="000000"/>
                <w:sz w:val="21"/>
              </w:rP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从</w:t>
            </w:r>
            <w:bookmarkStart w:id="8" w:name="_GoBack"/>
            <w:bookmarkEnd w:id="8"/>
            <w:r>
              <w:rPr>
                <w:rFonts w:ascii="宋体" w:hAnsi="宋体" w:eastAsia="宋体" w:cs="宋体"/>
                <w:color w:val="000000"/>
                <w:sz w:val="21"/>
              </w:rPr>
              <w:t>2.90%缓步下行至2.85%。</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2、产品运作</w:t>
            </w:r>
            <w:r>
              <w:rPr>
                <w:rFonts w:ascii="宋体" w:hAnsi="宋体" w:eastAsia="宋体" w:cs="宋体"/>
                <w:color w:val="000000"/>
                <w:sz w:val="21"/>
              </w:rPr>
              <w:br w:type="textWrapping"/>
            </w: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二、2023年二季度展望与投资策略</w:t>
            </w:r>
            <w:r>
              <w:rPr>
                <w:rFonts w:ascii="宋体" w:hAnsi="宋体" w:eastAsia="宋体" w:cs="宋体"/>
                <w:color w:val="000000"/>
                <w:sz w:val="21"/>
              </w:rPr>
              <w:br w:type="textWrapping"/>
            </w:r>
            <w:r>
              <w:rPr>
                <w:rFonts w:ascii="宋体" w:hAnsi="宋体" w:eastAsia="宋体" w:cs="宋体"/>
                <w:color w:val="000000"/>
                <w:sz w:val="21"/>
              </w:rPr>
              <w:t>1、2023年二季度展望</w:t>
            </w:r>
            <w:r>
              <w:rPr>
                <w:rFonts w:ascii="宋体" w:hAnsi="宋体" w:eastAsia="宋体" w:cs="宋体"/>
                <w:color w:val="000000"/>
                <w:sz w:val="21"/>
              </w:rPr>
              <w:br w:type="textWrapping"/>
            </w:r>
            <w:r>
              <w:rPr>
                <w:rFonts w:ascii="宋体" w:hAnsi="宋体" w:eastAsia="宋体" w:cs="宋体"/>
                <w:color w:val="000000"/>
                <w:sz w:val="21"/>
              </w:rP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r>
            <w:r>
              <w:rPr>
                <w:rFonts w:ascii="宋体" w:hAnsi="宋体" w:eastAsia="宋体" w:cs="宋体"/>
                <w:color w:val="000000"/>
                <w:sz w:val="21"/>
              </w:rPr>
              <w:br w:type="textWrapping"/>
            </w:r>
            <w:r>
              <w:rPr>
                <w:rFonts w:ascii="宋体" w:hAnsi="宋体" w:eastAsia="宋体" w:cs="宋体"/>
                <w:color w:val="000000"/>
                <w:sz w:val="21"/>
              </w:rPr>
              <w:t>2、投资策略</w:t>
            </w:r>
            <w:r>
              <w:rPr>
                <w:rFonts w:ascii="宋体" w:hAnsi="宋体" w:eastAsia="宋体" w:cs="宋体"/>
                <w:color w:val="000000"/>
                <w:sz w:val="21"/>
              </w:rPr>
              <w:br w:type="textWrapping"/>
            </w:r>
            <w:r>
              <w:rPr>
                <w:rFonts w:ascii="宋体" w:hAnsi="宋体" w:eastAsia="宋体" w:cs="宋体"/>
                <w:color w:val="000000"/>
                <w:sz w:val="21"/>
              </w:rP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7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62.98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22长兴交投02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93,004,435.84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22瘦西湖旅投01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56,449,428.38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22鄞城集团02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42,372,842.63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21郴投集团PPN001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21,127,118.36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21鹰潭国控MTN001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21,009,097.26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19华通国资MTN001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20,947,743.29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21贵州高速MTN002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20,754,410.14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21盐城01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20,632,935.07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21九联投资MTN002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20,618,974.52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21泰安城投MTN001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20,543,982.19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21衡阳城投PPN002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21连云金控MTN001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9K520440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051010100101387304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兴银理财兴承恒享众盈一年定期开放4号固收类理财产品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兴银理财兴承恒享众盈一年定期开放4号固收类理财产品2023年第一季度报告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62495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2023-04-20T08:25:12Z</dcterms:created>
  <dc:creator>cib</dc:creator>
  <cp:lastModifiedBy>cib</cp:lastModifiedBy>
  <dcterms:modified xsi:type="dcterms:W3CDTF">2023-04-20T08:26:57Z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