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1,474,278,175.91份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产品9K220005自成立日以来，累计净值增长率为4.8460%，年化累计净值增长率为1.7582%。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1.04846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1,516,242,108.83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开年宏观经济整体呈现弱复苏的格局，春节后尤其是3月份各类宏观数据环比开始有所回落，相应权益市场出现强预期向弱现实靠拢的格局。与此同时，以GPT3.5和GPT4.0为代表的AI领域出现拐点性机会，广义TMT板块从2月开始出现一轮较大涨幅。基金整体涨幅一般，但TMT领域涨幅较大。</w:t>
              <w:br/>
              <w:t xml:space="preserve">    在一季度，考虑到市场整体并未出现较大幅度上涨，因此依然维持较高仓位，积极寻找结构性机会，整体均衡配置。由于在TMT领域中配置比例并不高，因此整体弹性有所不足。</w:t>
              <w:br/>
              <w:t xml:space="preserve">    展望未来，我们认为整体权益市场仍然处于可为的格局，宏观经济复苏会带来大部分板块均有盈利修复的投资机会，同时当前市场整体水位并不高。因此仍将保持相对较高的仓位。结构上，各板块之间的涨跌幅差距将会有所收敛，后续一方面关注医药、消费等和宏观经济度相关的板块，另一方面认可AI带来的中长期产业趋势，将密切关注TMT回调后的投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200,830,531.93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62,261,159.18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62,254,017.05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60,445,169.01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30,347,768.06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30,339,220.45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30,326,393.48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30,316,719.90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30,314,753.56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30,311,733.91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